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B0264" w14:textId="4473F1E9" w:rsidR="00F10699" w:rsidRPr="0069320D" w:rsidRDefault="00F42D32" w:rsidP="00A56BB7">
      <w:pPr>
        <w:tabs>
          <w:tab w:val="left" w:pos="567"/>
        </w:tabs>
        <w:spacing w:afterLines="50" w:after="120" w:line="240" w:lineRule="auto"/>
        <w:jc w:val="right"/>
        <w:rPr>
          <w:rFonts w:ascii="Merriweather" w:hAnsi="Merriweather" w:cs="Times New Roman"/>
          <w:color w:val="002060"/>
        </w:rPr>
      </w:pPr>
      <w:r>
        <w:rPr>
          <w:rFonts w:ascii="Merriweather" w:hAnsi="Merriweather" w:cs="Times New Roman"/>
          <w:color w:val="002060"/>
        </w:rPr>
        <w:t>11</w:t>
      </w:r>
      <w:r w:rsidR="00F10699" w:rsidRPr="0069320D">
        <w:rPr>
          <w:rFonts w:ascii="Merriweather" w:hAnsi="Merriweather" w:cs="Times New Roman"/>
          <w:color w:val="002060"/>
        </w:rPr>
        <w:t xml:space="preserve"> </w:t>
      </w:r>
      <w:r w:rsidR="00F10699">
        <w:rPr>
          <w:rFonts w:ascii="Merriweather" w:hAnsi="Merriweather" w:cs="Times New Roman"/>
          <w:color w:val="002060"/>
        </w:rPr>
        <w:t xml:space="preserve">de </w:t>
      </w:r>
      <w:r>
        <w:rPr>
          <w:rFonts w:ascii="Merriweather" w:hAnsi="Merriweather" w:cs="Times New Roman"/>
          <w:color w:val="002060"/>
        </w:rPr>
        <w:t>julio</w:t>
      </w:r>
      <w:r w:rsidR="00A56BB7">
        <w:rPr>
          <w:rFonts w:ascii="Merriweather" w:hAnsi="Merriweather" w:cs="Times New Roman"/>
          <w:color w:val="002060"/>
        </w:rPr>
        <w:t xml:space="preserve"> </w:t>
      </w:r>
      <w:r w:rsidR="00F10699" w:rsidRPr="0069320D">
        <w:rPr>
          <w:rFonts w:ascii="Merriweather" w:hAnsi="Merriweather" w:cs="Times New Roman"/>
          <w:color w:val="002060"/>
        </w:rPr>
        <w:t>de 202</w:t>
      </w:r>
      <w:r w:rsidR="00F10699">
        <w:rPr>
          <w:rFonts w:ascii="Merriweather" w:hAnsi="Merriweather" w:cs="Times New Roman"/>
          <w:color w:val="002060"/>
        </w:rPr>
        <w:t>4</w:t>
      </w:r>
    </w:p>
    <w:p w14:paraId="10A77439" w14:textId="77777777" w:rsidR="00F10699" w:rsidRPr="0069320D" w:rsidRDefault="00F10699" w:rsidP="00A56BB7">
      <w:pPr>
        <w:spacing w:afterLines="50" w:after="120" w:line="240" w:lineRule="auto"/>
        <w:jc w:val="center"/>
        <w:rPr>
          <w:rFonts w:ascii="Merriweather" w:hAnsi="Merriweather" w:cs="Times New Roman"/>
          <w:b/>
          <w:bCs/>
          <w:color w:val="002060"/>
        </w:rPr>
      </w:pPr>
    </w:p>
    <w:p w14:paraId="46706059" w14:textId="4B92055A" w:rsidR="00BB1E71" w:rsidRPr="00E0072D" w:rsidRDefault="00F10699" w:rsidP="00E0072D">
      <w:pPr>
        <w:spacing w:afterLines="50" w:after="120" w:line="240" w:lineRule="auto"/>
        <w:jc w:val="center"/>
        <w:rPr>
          <w:rFonts w:ascii="Merriweather" w:hAnsi="Merriweather" w:cs="Times New Roman"/>
          <w:b/>
          <w:bCs/>
          <w:color w:val="4472C4" w:themeColor="accent1"/>
          <w:sz w:val="24"/>
          <w:szCs w:val="24"/>
        </w:rPr>
      </w:pPr>
      <w:r w:rsidRPr="00E0072D">
        <w:rPr>
          <w:rFonts w:ascii="Merriweather" w:hAnsi="Merriweather" w:cs="Times New Roman"/>
          <w:b/>
          <w:bCs/>
          <w:color w:val="4472C4" w:themeColor="accent1"/>
          <w:sz w:val="24"/>
          <w:szCs w:val="24"/>
        </w:rPr>
        <w:t>Client Alert</w:t>
      </w:r>
    </w:p>
    <w:p w14:paraId="0AFD13D7" w14:textId="615B8DF5" w:rsidR="00A25554" w:rsidRPr="00E0072D" w:rsidRDefault="00F42D32" w:rsidP="00F42D32">
      <w:pPr>
        <w:spacing w:afterLines="50" w:after="120" w:line="240" w:lineRule="auto"/>
        <w:ind w:right="49"/>
        <w:jc w:val="center"/>
        <w:rPr>
          <w:rFonts w:ascii="Merriweather" w:hAnsi="Merriweather" w:cs="Times New Roman"/>
          <w:b/>
          <w:bCs/>
        </w:rPr>
      </w:pPr>
      <w:r>
        <w:rPr>
          <w:rFonts w:ascii="Merriweather" w:hAnsi="Merriweather" w:cs="Times New Roman"/>
          <w:b/>
          <w:bCs/>
        </w:rPr>
        <w:t xml:space="preserve">La Comisión Nacional Bancaria y de Valores publica </w:t>
      </w:r>
      <w:r w:rsidR="009200E2">
        <w:rPr>
          <w:rFonts w:ascii="Merriweather" w:hAnsi="Merriweather" w:cs="Times New Roman"/>
          <w:b/>
          <w:bCs/>
        </w:rPr>
        <w:t>la Resolución</w:t>
      </w:r>
      <w:r w:rsidR="00E0072D" w:rsidRPr="00E0072D">
        <w:rPr>
          <w:rFonts w:ascii="Merriweather" w:hAnsi="Merriweather" w:cs="Times New Roman"/>
          <w:b/>
          <w:bCs/>
        </w:rPr>
        <w:t xml:space="preserve"> que modifica la Circular Única de Bancos en materia de comisionistas tecnológicos</w:t>
      </w:r>
    </w:p>
    <w:p w14:paraId="4105E82B" w14:textId="77777777" w:rsidR="00E0072D" w:rsidRPr="00E0072D" w:rsidRDefault="00E0072D" w:rsidP="00E0072D">
      <w:pPr>
        <w:tabs>
          <w:tab w:val="left" w:pos="7938"/>
        </w:tabs>
        <w:spacing w:afterLines="50" w:after="120" w:line="240" w:lineRule="auto"/>
        <w:ind w:right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2BB39" w14:textId="31E16090" w:rsidR="00F42D32" w:rsidRDefault="00F42D32" w:rsidP="00832EE5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es una actualización al “</w:t>
      </w:r>
      <w:hyperlink r:id="rId8" w:history="1">
        <w:r w:rsidRPr="00C514AB">
          <w:rPr>
            <w:rStyle w:val="Hipervnculo"/>
            <w:rFonts w:ascii="Times New Roman" w:hAnsi="Times New Roman" w:cs="Times New Roman"/>
            <w:sz w:val="24"/>
            <w:szCs w:val="24"/>
          </w:rPr>
          <w:t>Client Alert</w:t>
        </w:r>
      </w:hyperlink>
      <w:r>
        <w:rPr>
          <w:rFonts w:ascii="Times New Roman" w:hAnsi="Times New Roman" w:cs="Times New Roman"/>
          <w:sz w:val="24"/>
          <w:szCs w:val="24"/>
        </w:rPr>
        <w:t>” publicado el 15 de mayo de 2024 por Campa &amp; Mendoza.</w:t>
      </w:r>
    </w:p>
    <w:p w14:paraId="79D42C0D" w14:textId="0F598721" w:rsidR="00B47E40" w:rsidRDefault="00B47E40" w:rsidP="00B27D23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D582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14C1C" w:rsidRPr="00BD58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4C1C">
        <w:rPr>
          <w:rFonts w:ascii="Times New Roman" w:hAnsi="Times New Roman" w:cs="Times New Roman"/>
          <w:sz w:val="24"/>
          <w:szCs w:val="24"/>
        </w:rPr>
        <w:t xml:space="preserve"> </w:t>
      </w:r>
      <w:r w:rsidR="00D14C1C" w:rsidRPr="00504D77">
        <w:rPr>
          <w:rFonts w:ascii="Times New Roman" w:hAnsi="Times New Roman" w:cs="Times New Roman"/>
          <w:b/>
          <w:bCs/>
          <w:sz w:val="24"/>
          <w:szCs w:val="24"/>
        </w:rPr>
        <w:t xml:space="preserve">Contenido del </w:t>
      </w:r>
      <w:r w:rsidR="00F42D32">
        <w:rPr>
          <w:rFonts w:ascii="Times New Roman" w:hAnsi="Times New Roman" w:cs="Times New Roman"/>
          <w:b/>
          <w:bCs/>
          <w:sz w:val="24"/>
          <w:szCs w:val="24"/>
        </w:rPr>
        <w:t>Acuerdo.</w:t>
      </w:r>
    </w:p>
    <w:p w14:paraId="7C60E81C" w14:textId="58BA12E2" w:rsidR="00F42D32" w:rsidRDefault="00F42D32" w:rsidP="00F42D32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71966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día de hoy, la Comisión Nacional Bancaria y de Valores (“</w:t>
      </w:r>
      <w:r w:rsidRPr="00F42D32">
        <w:rPr>
          <w:rFonts w:ascii="Times New Roman" w:hAnsi="Times New Roman" w:cs="Times New Roman"/>
          <w:b/>
          <w:bCs/>
          <w:sz w:val="24"/>
          <w:szCs w:val="24"/>
        </w:rPr>
        <w:t>CNBV</w:t>
      </w:r>
      <w:r>
        <w:rPr>
          <w:rFonts w:ascii="Times New Roman" w:hAnsi="Times New Roman" w:cs="Times New Roman"/>
          <w:sz w:val="24"/>
          <w:szCs w:val="24"/>
        </w:rPr>
        <w:t>”),</w:t>
      </w:r>
      <w:r w:rsidRPr="00D71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publicó en el Diario Oficial de la Federación (“</w:t>
      </w:r>
      <w:r w:rsidRPr="00F42D32">
        <w:rPr>
          <w:rFonts w:ascii="Times New Roman" w:hAnsi="Times New Roman" w:cs="Times New Roman"/>
          <w:b/>
          <w:bCs/>
          <w:sz w:val="24"/>
          <w:szCs w:val="24"/>
        </w:rPr>
        <w:t>DOF</w:t>
      </w:r>
      <w:r>
        <w:rPr>
          <w:rFonts w:ascii="Times New Roman" w:hAnsi="Times New Roman" w:cs="Times New Roman"/>
          <w:sz w:val="24"/>
          <w:szCs w:val="24"/>
        </w:rPr>
        <w:t>”)</w:t>
      </w:r>
      <w:r w:rsidRPr="00D71966">
        <w:rPr>
          <w:rFonts w:ascii="Times New Roman" w:hAnsi="Times New Roman" w:cs="Times New Roman"/>
          <w:sz w:val="24"/>
          <w:szCs w:val="24"/>
        </w:rPr>
        <w:t xml:space="preserve"> la “</w:t>
      </w:r>
      <w:r w:rsidRPr="00AF5E1D">
        <w:rPr>
          <w:rFonts w:ascii="Times New Roman" w:hAnsi="Times New Roman" w:cs="Times New Roman"/>
          <w:i/>
          <w:iCs/>
          <w:sz w:val="24"/>
          <w:szCs w:val="24"/>
        </w:rPr>
        <w:t>Resolución que modifica las Disposiciones de carácter general aplicables a las Instituciones de Crédito</w:t>
      </w:r>
      <w:r w:rsidRPr="00D71966">
        <w:rPr>
          <w:rFonts w:ascii="Times New Roman" w:hAnsi="Times New Roman" w:cs="Times New Roman"/>
          <w:sz w:val="24"/>
          <w:szCs w:val="24"/>
        </w:rPr>
        <w:t>” (</w:t>
      </w:r>
      <w:r>
        <w:rPr>
          <w:rFonts w:ascii="Times New Roman" w:hAnsi="Times New Roman" w:cs="Times New Roman"/>
          <w:sz w:val="24"/>
          <w:szCs w:val="24"/>
        </w:rPr>
        <w:t>el “</w:t>
      </w:r>
      <w:r w:rsidR="004834FA">
        <w:rPr>
          <w:rFonts w:ascii="Times New Roman" w:hAnsi="Times New Roman" w:cs="Times New Roman"/>
          <w:b/>
          <w:bCs/>
          <w:sz w:val="24"/>
          <w:szCs w:val="24"/>
        </w:rPr>
        <w:t>Disposiciones</w:t>
      </w:r>
      <w:r w:rsidRPr="00D71966">
        <w:rPr>
          <w:rFonts w:ascii="Times New Roman" w:hAnsi="Times New Roman" w:cs="Times New Roman"/>
          <w:sz w:val="24"/>
          <w:szCs w:val="24"/>
        </w:rPr>
        <w:t>”)</w:t>
      </w:r>
      <w:r>
        <w:rPr>
          <w:rFonts w:ascii="Times New Roman" w:hAnsi="Times New Roman" w:cs="Times New Roman"/>
          <w:sz w:val="24"/>
          <w:szCs w:val="24"/>
        </w:rPr>
        <w:t xml:space="preserve"> el cual puede ser consultado </w:t>
      </w:r>
      <w:hyperlink r:id="rId9" w:anchor="gsc.tab=0" w:history="1">
        <w:r w:rsidRPr="00F42D32">
          <w:rPr>
            <w:rStyle w:val="Hipervnculo"/>
            <w:rFonts w:ascii="Times New Roman" w:hAnsi="Times New Roman" w:cs="Times New Roman"/>
            <w:sz w:val="24"/>
            <w:szCs w:val="24"/>
          </w:rPr>
          <w:t>aquí</w:t>
        </w:r>
      </w:hyperlink>
      <w:r w:rsidRPr="00D71966">
        <w:rPr>
          <w:rFonts w:ascii="Times New Roman" w:hAnsi="Times New Roman" w:cs="Times New Roman"/>
          <w:sz w:val="24"/>
          <w:szCs w:val="24"/>
        </w:rPr>
        <w:t>.</w:t>
      </w:r>
    </w:p>
    <w:p w14:paraId="62A9C4FF" w14:textId="4AB4ACD1" w:rsidR="003A3272" w:rsidRDefault="001E473B" w:rsidP="00B27D23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F42D32">
        <w:rPr>
          <w:rFonts w:ascii="Times New Roman" w:hAnsi="Times New Roman" w:cs="Times New Roman"/>
          <w:sz w:val="24"/>
          <w:szCs w:val="24"/>
        </w:rPr>
        <w:t>Acuerdo</w:t>
      </w:r>
      <w:r w:rsidR="00B467B3">
        <w:rPr>
          <w:rFonts w:ascii="Times New Roman" w:hAnsi="Times New Roman" w:cs="Times New Roman"/>
          <w:sz w:val="24"/>
          <w:szCs w:val="24"/>
        </w:rPr>
        <w:t xml:space="preserve"> </w:t>
      </w:r>
      <w:r w:rsidR="00896706">
        <w:rPr>
          <w:rFonts w:ascii="Times New Roman" w:hAnsi="Times New Roman" w:cs="Times New Roman"/>
          <w:sz w:val="24"/>
          <w:szCs w:val="24"/>
        </w:rPr>
        <w:t xml:space="preserve">tiene por objeto </w:t>
      </w:r>
      <w:r w:rsidR="00836377">
        <w:rPr>
          <w:rFonts w:ascii="Times New Roman" w:hAnsi="Times New Roman" w:cs="Times New Roman"/>
          <w:sz w:val="24"/>
          <w:szCs w:val="24"/>
        </w:rPr>
        <w:t xml:space="preserve">modificar las </w:t>
      </w:r>
      <w:r w:rsidR="00B27D23">
        <w:rPr>
          <w:rFonts w:ascii="Times New Roman" w:hAnsi="Times New Roman" w:cs="Times New Roman"/>
          <w:sz w:val="24"/>
          <w:szCs w:val="24"/>
        </w:rPr>
        <w:t>D</w:t>
      </w:r>
      <w:r w:rsidR="00836377">
        <w:rPr>
          <w:rFonts w:ascii="Times New Roman" w:hAnsi="Times New Roman" w:cs="Times New Roman"/>
          <w:sz w:val="24"/>
          <w:szCs w:val="24"/>
        </w:rPr>
        <w:t>isposiciones</w:t>
      </w:r>
      <w:r w:rsidR="00C97063">
        <w:rPr>
          <w:rFonts w:ascii="Times New Roman" w:hAnsi="Times New Roman" w:cs="Times New Roman"/>
          <w:sz w:val="24"/>
          <w:szCs w:val="24"/>
        </w:rPr>
        <w:t xml:space="preserve"> de carácter general aplicables a las Instituciones de Crédito</w:t>
      </w:r>
      <w:r w:rsidR="00B27D23">
        <w:rPr>
          <w:rFonts w:ascii="Times New Roman" w:hAnsi="Times New Roman" w:cs="Times New Roman"/>
          <w:sz w:val="24"/>
          <w:szCs w:val="24"/>
        </w:rPr>
        <w:t xml:space="preserve"> con la finalidad de incluir la figura del comisionista de base tecnológica, definiéndolo como </w:t>
      </w:r>
      <w:r w:rsidR="00711B93">
        <w:rPr>
          <w:rFonts w:ascii="Times New Roman" w:hAnsi="Times New Roman" w:cs="Times New Roman"/>
          <w:sz w:val="24"/>
          <w:szCs w:val="24"/>
        </w:rPr>
        <w:t>aquel</w:t>
      </w:r>
      <w:r w:rsidR="00B27D23">
        <w:rPr>
          <w:rFonts w:ascii="Times New Roman" w:hAnsi="Times New Roman" w:cs="Times New Roman"/>
          <w:sz w:val="24"/>
          <w:szCs w:val="24"/>
        </w:rPr>
        <w:t xml:space="preserve"> tercero</w:t>
      </w:r>
      <w:r w:rsidR="00711B93">
        <w:rPr>
          <w:rFonts w:ascii="Times New Roman" w:hAnsi="Times New Roman" w:cs="Times New Roman"/>
          <w:sz w:val="24"/>
          <w:szCs w:val="24"/>
        </w:rPr>
        <w:t xml:space="preserve"> que</w:t>
      </w:r>
      <w:r w:rsidR="00B27D23">
        <w:rPr>
          <w:rFonts w:ascii="Times New Roman" w:hAnsi="Times New Roman" w:cs="Times New Roman"/>
          <w:sz w:val="24"/>
          <w:szCs w:val="24"/>
        </w:rPr>
        <w:t xml:space="preserve"> podrá actuar</w:t>
      </w:r>
      <w:r w:rsidR="00711B93">
        <w:rPr>
          <w:rFonts w:ascii="Times New Roman" w:hAnsi="Times New Roman" w:cs="Times New Roman"/>
          <w:sz w:val="24"/>
          <w:szCs w:val="24"/>
        </w:rPr>
        <w:t xml:space="preserve"> </w:t>
      </w:r>
      <w:r w:rsidR="00B27D23">
        <w:rPr>
          <w:rFonts w:ascii="Times New Roman" w:hAnsi="Times New Roman" w:cs="Times New Roman"/>
          <w:sz w:val="24"/>
          <w:szCs w:val="24"/>
        </w:rPr>
        <w:t xml:space="preserve">en nombre y por cuenta de las </w:t>
      </w:r>
      <w:r w:rsidR="00BE423E">
        <w:rPr>
          <w:rFonts w:ascii="Times New Roman" w:hAnsi="Times New Roman" w:cs="Times New Roman"/>
          <w:sz w:val="24"/>
          <w:szCs w:val="24"/>
        </w:rPr>
        <w:t>i</w:t>
      </w:r>
      <w:r w:rsidR="00B27D23">
        <w:rPr>
          <w:rFonts w:ascii="Times New Roman" w:hAnsi="Times New Roman" w:cs="Times New Roman"/>
          <w:sz w:val="24"/>
          <w:szCs w:val="24"/>
        </w:rPr>
        <w:t>nstituciones</w:t>
      </w:r>
      <w:r w:rsidR="00BE423E">
        <w:rPr>
          <w:rFonts w:ascii="Times New Roman" w:hAnsi="Times New Roman" w:cs="Times New Roman"/>
          <w:sz w:val="24"/>
          <w:szCs w:val="24"/>
        </w:rPr>
        <w:t xml:space="preserve"> de crédito (“</w:t>
      </w:r>
      <w:r w:rsidR="00BE423E" w:rsidRPr="00BE423E">
        <w:rPr>
          <w:rFonts w:ascii="Times New Roman" w:hAnsi="Times New Roman" w:cs="Times New Roman"/>
          <w:b/>
          <w:bCs/>
          <w:sz w:val="24"/>
          <w:szCs w:val="24"/>
        </w:rPr>
        <w:t>Instituciones</w:t>
      </w:r>
      <w:r w:rsidR="00BE423E">
        <w:rPr>
          <w:rFonts w:ascii="Times New Roman" w:hAnsi="Times New Roman" w:cs="Times New Roman"/>
          <w:sz w:val="24"/>
          <w:szCs w:val="24"/>
        </w:rPr>
        <w:t>”)</w:t>
      </w:r>
      <w:r w:rsidR="00711B93">
        <w:rPr>
          <w:rFonts w:ascii="Times New Roman" w:hAnsi="Times New Roman" w:cs="Times New Roman"/>
          <w:sz w:val="24"/>
          <w:szCs w:val="24"/>
        </w:rPr>
        <w:t xml:space="preserve"> por medio de páginas de internet o aplicaciones </w:t>
      </w:r>
      <w:r w:rsidR="00691A3A">
        <w:rPr>
          <w:rFonts w:ascii="Times New Roman" w:hAnsi="Times New Roman" w:cs="Times New Roman"/>
          <w:sz w:val="24"/>
          <w:szCs w:val="24"/>
        </w:rPr>
        <w:t>informáticas, mismas que estarán acotadas a realizar únicamente las siguientes operaciones</w:t>
      </w:r>
      <w:r w:rsidR="004A08E3">
        <w:rPr>
          <w:rFonts w:ascii="Times New Roman" w:hAnsi="Times New Roman" w:cs="Times New Roman"/>
          <w:sz w:val="24"/>
          <w:szCs w:val="24"/>
        </w:rPr>
        <w:t>:</w:t>
      </w:r>
    </w:p>
    <w:p w14:paraId="7C96C2AF" w14:textId="39DC08A2" w:rsidR="004A08E3" w:rsidRPr="00A36E5E" w:rsidRDefault="004A08E3" w:rsidP="004A08E3">
      <w:pPr>
        <w:pStyle w:val="Prrafodelista"/>
        <w:numPr>
          <w:ilvl w:val="0"/>
          <w:numId w:val="9"/>
        </w:numPr>
        <w:spacing w:afterLines="10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E5E">
        <w:rPr>
          <w:rFonts w:ascii="Times New Roman" w:hAnsi="Times New Roman" w:cs="Times New Roman"/>
          <w:sz w:val="24"/>
          <w:szCs w:val="24"/>
        </w:rPr>
        <w:t>Apertura de cuentas nivel 2, y transferencias de recursos asociadas a dichas cuentas</w:t>
      </w:r>
      <w:r w:rsidR="00BE423E" w:rsidRPr="00A36E5E">
        <w:rPr>
          <w:rFonts w:ascii="Times New Roman" w:hAnsi="Times New Roman" w:cs="Times New Roman"/>
          <w:sz w:val="24"/>
          <w:szCs w:val="24"/>
        </w:rPr>
        <w:t>;</w:t>
      </w:r>
    </w:p>
    <w:p w14:paraId="32993DAA" w14:textId="77777777" w:rsidR="00C80373" w:rsidRPr="00A36E5E" w:rsidRDefault="00C80373" w:rsidP="00C80373">
      <w:pPr>
        <w:pStyle w:val="Prrafodelista"/>
        <w:spacing w:afterLines="100" w:after="24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14:paraId="037B8DAA" w14:textId="49440F36" w:rsidR="004A08E3" w:rsidRPr="00A36E5E" w:rsidRDefault="004A08E3" w:rsidP="004A08E3">
      <w:pPr>
        <w:pStyle w:val="Prrafodelista"/>
        <w:numPr>
          <w:ilvl w:val="0"/>
          <w:numId w:val="9"/>
        </w:numPr>
        <w:spacing w:afterLines="10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E5E">
        <w:rPr>
          <w:rFonts w:ascii="Times New Roman" w:hAnsi="Times New Roman" w:cs="Times New Roman"/>
          <w:sz w:val="24"/>
          <w:szCs w:val="24"/>
        </w:rPr>
        <w:t>Otorgamiento de créditos por montos no mayores a tres mil UDIs</w:t>
      </w:r>
      <w:r w:rsidR="00BE423E" w:rsidRPr="00A36E5E">
        <w:rPr>
          <w:rFonts w:ascii="Times New Roman" w:hAnsi="Times New Roman" w:cs="Times New Roman"/>
          <w:sz w:val="24"/>
          <w:szCs w:val="24"/>
        </w:rPr>
        <w:t>;</w:t>
      </w:r>
    </w:p>
    <w:p w14:paraId="36CBD7DC" w14:textId="77777777" w:rsidR="00C80373" w:rsidRPr="00A36E5E" w:rsidRDefault="00C80373" w:rsidP="00C80373">
      <w:pPr>
        <w:pStyle w:val="Prrafodelista"/>
        <w:spacing w:afterLines="100" w:after="24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14:paraId="2B7B4C02" w14:textId="17A7CF4F" w:rsidR="004A08E3" w:rsidRPr="00A36E5E" w:rsidRDefault="004A08E3" w:rsidP="004A08E3">
      <w:pPr>
        <w:pStyle w:val="Prrafodelista"/>
        <w:numPr>
          <w:ilvl w:val="0"/>
          <w:numId w:val="9"/>
        </w:numPr>
        <w:spacing w:afterLines="10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E5E">
        <w:rPr>
          <w:rFonts w:ascii="Times New Roman" w:hAnsi="Times New Roman" w:cs="Times New Roman"/>
          <w:sz w:val="24"/>
          <w:szCs w:val="24"/>
        </w:rPr>
        <w:t>Pago de bienes y servicios</w:t>
      </w:r>
      <w:r w:rsidR="00BE423E" w:rsidRPr="00A36E5E">
        <w:rPr>
          <w:rFonts w:ascii="Times New Roman" w:hAnsi="Times New Roman" w:cs="Times New Roman"/>
          <w:sz w:val="24"/>
          <w:szCs w:val="24"/>
        </w:rPr>
        <w:t>, y</w:t>
      </w:r>
    </w:p>
    <w:p w14:paraId="06457E07" w14:textId="77777777" w:rsidR="00C80373" w:rsidRPr="00A36E5E" w:rsidRDefault="00C80373" w:rsidP="00C80373">
      <w:pPr>
        <w:pStyle w:val="Prrafodelista"/>
        <w:spacing w:afterLines="100" w:after="24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14:paraId="21E7D490" w14:textId="6EC543CC" w:rsidR="004A08E3" w:rsidRPr="00A36E5E" w:rsidRDefault="00C80373" w:rsidP="004A08E3">
      <w:pPr>
        <w:pStyle w:val="Prrafodelista"/>
        <w:numPr>
          <w:ilvl w:val="0"/>
          <w:numId w:val="9"/>
        </w:numPr>
        <w:spacing w:afterLines="10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E5E">
        <w:rPr>
          <w:rFonts w:ascii="Times New Roman" w:hAnsi="Times New Roman" w:cs="Times New Roman"/>
          <w:sz w:val="24"/>
          <w:szCs w:val="24"/>
        </w:rPr>
        <w:t>Consulta de saldos y movimientos.</w:t>
      </w:r>
    </w:p>
    <w:p w14:paraId="680A2AD2" w14:textId="1056A465" w:rsidR="003D2468" w:rsidRDefault="00933BE5" w:rsidP="00A037F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</w:t>
      </w:r>
      <w:r w:rsidR="00F55BA8">
        <w:rPr>
          <w:rFonts w:ascii="Times New Roman" w:hAnsi="Times New Roman" w:cs="Times New Roman"/>
          <w:sz w:val="24"/>
          <w:szCs w:val="24"/>
        </w:rPr>
        <w:t>Instituciones en la contratación de comisionistas de base tecnológica deben</w:t>
      </w:r>
      <w:r w:rsidR="00C431BA">
        <w:rPr>
          <w:rFonts w:ascii="Times New Roman" w:hAnsi="Times New Roman" w:cs="Times New Roman"/>
          <w:sz w:val="24"/>
          <w:szCs w:val="24"/>
        </w:rPr>
        <w:t xml:space="preserve"> contemplar los requisitos y obligaciones adicionales</w:t>
      </w:r>
      <w:r w:rsidR="003D2468">
        <w:rPr>
          <w:rFonts w:ascii="Times New Roman" w:hAnsi="Times New Roman" w:cs="Times New Roman"/>
          <w:sz w:val="24"/>
          <w:szCs w:val="24"/>
        </w:rPr>
        <w:t>, a los vigentes, relativos a:</w:t>
      </w:r>
    </w:p>
    <w:p w14:paraId="2916CD2E" w14:textId="77777777" w:rsidR="00F274DA" w:rsidRDefault="00893A9C" w:rsidP="00A037F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E5E">
        <w:rPr>
          <w:rFonts w:ascii="Times New Roman" w:hAnsi="Times New Roman" w:cs="Times New Roman"/>
          <w:b/>
          <w:bCs/>
          <w:sz w:val="24"/>
          <w:szCs w:val="24"/>
        </w:rPr>
        <w:lastRenderedPageBreak/>
        <w:t>a)</w:t>
      </w:r>
      <w:r w:rsidR="003D2468">
        <w:rPr>
          <w:rFonts w:ascii="Times New Roman" w:hAnsi="Times New Roman" w:cs="Times New Roman"/>
          <w:sz w:val="24"/>
          <w:szCs w:val="24"/>
        </w:rPr>
        <w:t xml:space="preserve"> </w:t>
      </w:r>
      <w:r w:rsidR="00C43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431BA">
        <w:rPr>
          <w:rFonts w:ascii="Times New Roman" w:hAnsi="Times New Roman" w:cs="Times New Roman"/>
          <w:sz w:val="24"/>
          <w:szCs w:val="24"/>
        </w:rPr>
        <w:t xml:space="preserve">eguridad de la información, procesos operativos y de administración de bases de datos y sistemas informáticos. </w:t>
      </w:r>
    </w:p>
    <w:p w14:paraId="473C178D" w14:textId="64CD461B" w:rsidR="00933BE5" w:rsidRDefault="00F274DA" w:rsidP="00A037F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E5E"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1BA">
        <w:rPr>
          <w:rFonts w:ascii="Times New Roman" w:hAnsi="Times New Roman" w:cs="Times New Roman"/>
          <w:sz w:val="24"/>
          <w:szCs w:val="24"/>
        </w:rPr>
        <w:t>Asimismo, debe</w:t>
      </w:r>
      <w:r w:rsidR="00F42D32">
        <w:rPr>
          <w:rFonts w:ascii="Times New Roman" w:hAnsi="Times New Roman" w:cs="Times New Roman"/>
          <w:sz w:val="24"/>
          <w:szCs w:val="24"/>
        </w:rPr>
        <w:t>n</w:t>
      </w:r>
      <w:r w:rsidR="00C431BA">
        <w:rPr>
          <w:rFonts w:ascii="Times New Roman" w:hAnsi="Times New Roman" w:cs="Times New Roman"/>
          <w:sz w:val="24"/>
          <w:szCs w:val="24"/>
        </w:rPr>
        <w:t xml:space="preserve"> conocer y obtener de los comisionistas información y documentación </w:t>
      </w:r>
      <w:r>
        <w:rPr>
          <w:rFonts w:ascii="Times New Roman" w:hAnsi="Times New Roman" w:cs="Times New Roman"/>
          <w:sz w:val="24"/>
          <w:szCs w:val="24"/>
        </w:rPr>
        <w:t xml:space="preserve">relacionados con los servidores de </w:t>
      </w:r>
      <w:r w:rsidR="00C25348">
        <w:rPr>
          <w:rFonts w:ascii="Times New Roman" w:hAnsi="Times New Roman" w:cs="Times New Roman"/>
          <w:sz w:val="24"/>
          <w:szCs w:val="24"/>
        </w:rPr>
        <w:t>información</w:t>
      </w:r>
      <w:r w:rsidR="00BE423E">
        <w:rPr>
          <w:rFonts w:ascii="Times New Roman" w:hAnsi="Times New Roman" w:cs="Times New Roman"/>
          <w:sz w:val="24"/>
          <w:szCs w:val="24"/>
        </w:rPr>
        <w:t>,</w:t>
      </w:r>
      <w:r w:rsidR="00C431BA">
        <w:rPr>
          <w:rFonts w:ascii="Times New Roman" w:hAnsi="Times New Roman" w:cs="Times New Roman"/>
          <w:sz w:val="24"/>
          <w:szCs w:val="24"/>
        </w:rPr>
        <w:t xml:space="preserve"> contratos con terceros y </w:t>
      </w:r>
      <w:r w:rsidR="00BE423E">
        <w:rPr>
          <w:rFonts w:ascii="Times New Roman" w:hAnsi="Times New Roman" w:cs="Times New Roman"/>
          <w:sz w:val="24"/>
          <w:szCs w:val="24"/>
        </w:rPr>
        <w:t>de</w:t>
      </w:r>
      <w:r w:rsidR="00C431BA">
        <w:rPr>
          <w:rFonts w:ascii="Times New Roman" w:hAnsi="Times New Roman" w:cs="Times New Roman"/>
          <w:sz w:val="24"/>
          <w:szCs w:val="24"/>
        </w:rPr>
        <w:t xml:space="preserve"> los empleados que llevarán a cabo los procesos operativos relacionados a los servicios financieros. </w:t>
      </w:r>
    </w:p>
    <w:p w14:paraId="15769520" w14:textId="25C697F5" w:rsidR="006352BD" w:rsidRDefault="00371F9C" w:rsidP="00C25348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E5E">
        <w:rPr>
          <w:rFonts w:ascii="Times New Roman" w:hAnsi="Times New Roman" w:cs="Times New Roman"/>
          <w:b/>
          <w:bCs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A12">
        <w:rPr>
          <w:rFonts w:ascii="Times New Roman" w:hAnsi="Times New Roman" w:cs="Times New Roman"/>
          <w:sz w:val="24"/>
          <w:szCs w:val="24"/>
        </w:rPr>
        <w:t>L</w:t>
      </w:r>
      <w:r w:rsidR="00A3139D">
        <w:rPr>
          <w:rFonts w:ascii="Times New Roman" w:hAnsi="Times New Roman" w:cs="Times New Roman"/>
          <w:sz w:val="24"/>
          <w:szCs w:val="24"/>
        </w:rPr>
        <w:t xml:space="preserve">a información que las Instituciones </w:t>
      </w:r>
      <w:r w:rsidR="00F42D32">
        <w:rPr>
          <w:rFonts w:ascii="Times New Roman" w:hAnsi="Times New Roman" w:cs="Times New Roman"/>
          <w:sz w:val="24"/>
          <w:szCs w:val="24"/>
        </w:rPr>
        <w:t>deban</w:t>
      </w:r>
      <w:r w:rsidR="00A3139D">
        <w:rPr>
          <w:rFonts w:ascii="Times New Roman" w:hAnsi="Times New Roman" w:cs="Times New Roman"/>
          <w:sz w:val="24"/>
          <w:szCs w:val="24"/>
        </w:rPr>
        <w:t xml:space="preserve"> asegurar que los comisionistas hagan del conocimiento de los </w:t>
      </w:r>
      <w:r w:rsidR="00D52057">
        <w:rPr>
          <w:rFonts w:ascii="Times New Roman" w:hAnsi="Times New Roman" w:cs="Times New Roman"/>
          <w:sz w:val="24"/>
          <w:szCs w:val="24"/>
        </w:rPr>
        <w:t>clientes</w:t>
      </w:r>
      <w:r w:rsidR="00A3139D">
        <w:rPr>
          <w:rFonts w:ascii="Times New Roman" w:hAnsi="Times New Roman" w:cs="Times New Roman"/>
          <w:sz w:val="24"/>
          <w:szCs w:val="24"/>
        </w:rPr>
        <w:t xml:space="preserve">, la utilización y registro de llaves </w:t>
      </w:r>
      <w:r w:rsidR="006352BD">
        <w:rPr>
          <w:rFonts w:ascii="Times New Roman" w:hAnsi="Times New Roman" w:cs="Times New Roman"/>
          <w:sz w:val="24"/>
          <w:szCs w:val="24"/>
        </w:rPr>
        <w:t>públicas</w:t>
      </w:r>
      <w:r w:rsidR="00A3139D">
        <w:rPr>
          <w:rFonts w:ascii="Times New Roman" w:hAnsi="Times New Roman" w:cs="Times New Roman"/>
          <w:sz w:val="24"/>
          <w:szCs w:val="24"/>
        </w:rPr>
        <w:t xml:space="preserve"> y privadas</w:t>
      </w:r>
      <w:r w:rsidR="006352BD">
        <w:rPr>
          <w:rFonts w:ascii="Times New Roman" w:hAnsi="Times New Roman" w:cs="Times New Roman"/>
          <w:sz w:val="24"/>
          <w:szCs w:val="24"/>
        </w:rPr>
        <w:t xml:space="preserve"> y de factores que permitan autenticar a los clientes</w:t>
      </w:r>
      <w:r w:rsidR="00A3139D">
        <w:rPr>
          <w:rFonts w:ascii="Times New Roman" w:hAnsi="Times New Roman" w:cs="Times New Roman"/>
          <w:sz w:val="24"/>
          <w:szCs w:val="24"/>
        </w:rPr>
        <w:t xml:space="preserve"> para la realización de operaciones</w:t>
      </w:r>
      <w:r w:rsidR="006352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51BDD0" w14:textId="01220CB7" w:rsidR="00C9039A" w:rsidRPr="00C9039A" w:rsidRDefault="00C9039A" w:rsidP="00A037F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39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D582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9039A">
        <w:rPr>
          <w:rFonts w:ascii="Times New Roman" w:hAnsi="Times New Roman" w:cs="Times New Roman"/>
          <w:b/>
          <w:bCs/>
          <w:sz w:val="24"/>
          <w:szCs w:val="24"/>
        </w:rPr>
        <w:t xml:space="preserve">. Proceso </w:t>
      </w:r>
      <w:r w:rsidR="00504D7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9039A">
        <w:rPr>
          <w:rFonts w:ascii="Times New Roman" w:hAnsi="Times New Roman" w:cs="Times New Roman"/>
          <w:b/>
          <w:bCs/>
          <w:sz w:val="24"/>
          <w:szCs w:val="24"/>
        </w:rPr>
        <w:t>perativo</w:t>
      </w:r>
      <w:r w:rsidR="00443E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D5F199" w14:textId="2D6AA11F" w:rsidR="00460023" w:rsidRDefault="00F42D32" w:rsidP="00A037F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proceso por seguir</w:t>
      </w:r>
      <w:r w:rsidR="00BE423E">
        <w:rPr>
          <w:rFonts w:ascii="Times New Roman" w:hAnsi="Times New Roman" w:cs="Times New Roman"/>
          <w:sz w:val="24"/>
          <w:szCs w:val="24"/>
        </w:rPr>
        <w:t xml:space="preserve"> para la realización de operaciones mediante comisionistas de base </w:t>
      </w:r>
      <w:r w:rsidR="00E06384">
        <w:rPr>
          <w:rFonts w:ascii="Times New Roman" w:hAnsi="Times New Roman" w:cs="Times New Roman"/>
          <w:sz w:val="24"/>
          <w:szCs w:val="24"/>
        </w:rPr>
        <w:t xml:space="preserve">tecnológica </w:t>
      </w:r>
      <w:r>
        <w:rPr>
          <w:rFonts w:ascii="Times New Roman" w:hAnsi="Times New Roman" w:cs="Times New Roman"/>
          <w:sz w:val="24"/>
          <w:szCs w:val="24"/>
        </w:rPr>
        <w:t>es</w:t>
      </w:r>
      <w:r w:rsidR="00E06384">
        <w:rPr>
          <w:rFonts w:ascii="Times New Roman" w:hAnsi="Times New Roman" w:cs="Times New Roman"/>
          <w:sz w:val="24"/>
          <w:szCs w:val="24"/>
        </w:rPr>
        <w:t xml:space="preserve"> que todo cliente deberá </w:t>
      </w:r>
      <w:r w:rsidR="006352BD">
        <w:rPr>
          <w:rFonts w:ascii="Times New Roman" w:hAnsi="Times New Roman" w:cs="Times New Roman"/>
          <w:sz w:val="24"/>
          <w:szCs w:val="24"/>
        </w:rPr>
        <w:t>ser previamente autenticados por la Institución, por lo que el cliente</w:t>
      </w:r>
      <w:r w:rsidR="00BE423E">
        <w:rPr>
          <w:rFonts w:ascii="Times New Roman" w:hAnsi="Times New Roman" w:cs="Times New Roman"/>
          <w:sz w:val="24"/>
          <w:szCs w:val="24"/>
        </w:rPr>
        <w:t xml:space="preserve"> </w:t>
      </w:r>
      <w:r w:rsidR="006352BD"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z w:val="24"/>
          <w:szCs w:val="24"/>
        </w:rPr>
        <w:t>á</w:t>
      </w:r>
      <w:r w:rsidR="006352BD">
        <w:rPr>
          <w:rFonts w:ascii="Times New Roman" w:hAnsi="Times New Roman" w:cs="Times New Roman"/>
          <w:sz w:val="24"/>
          <w:szCs w:val="24"/>
        </w:rPr>
        <w:t xml:space="preserve"> transferido del comisionista a la interfaz de las Instituciones para su verificación y autenticación y posteriormente, regresará a la interfaz del comisionista para llevar a cabo la operación. </w:t>
      </w:r>
    </w:p>
    <w:p w14:paraId="0C08D176" w14:textId="6FD6BB8D" w:rsidR="006352BD" w:rsidRDefault="006352BD" w:rsidP="00A037F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anterior, significa que una vez que se haya autenticado el cliente</w:t>
      </w:r>
      <w:r w:rsidR="00E063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 comisionista tendrá acceso a la información del cliente y podrá realizar la operación. Sin embargo, los permisos otorgados al comisionista para acceder a la información del cliente serán revocados una vez realizada la operación o, cuando haya vencido </w:t>
      </w:r>
      <w:r w:rsidR="00796426">
        <w:rPr>
          <w:rFonts w:ascii="Times New Roman" w:hAnsi="Times New Roman" w:cs="Times New Roman"/>
          <w:sz w:val="24"/>
          <w:szCs w:val="24"/>
        </w:rPr>
        <w:t>los</w:t>
      </w:r>
      <w:r>
        <w:rPr>
          <w:rFonts w:ascii="Times New Roman" w:hAnsi="Times New Roman" w:cs="Times New Roman"/>
          <w:sz w:val="24"/>
          <w:szCs w:val="24"/>
        </w:rPr>
        <w:t xml:space="preserve"> plazo</w:t>
      </w:r>
      <w:r w:rsidR="0079642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máximo</w:t>
      </w:r>
      <w:r w:rsidR="0079642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para llevar a cabo las operacione</w:t>
      </w:r>
      <w:r w:rsidR="00796426">
        <w:rPr>
          <w:rFonts w:ascii="Times New Roman" w:hAnsi="Times New Roman" w:cs="Times New Roman"/>
          <w:sz w:val="24"/>
          <w:szCs w:val="24"/>
        </w:rPr>
        <w:t>s o por inactividad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8EE7D4" w14:textId="7EC33FBE" w:rsidR="00A3139D" w:rsidRDefault="00A3139D" w:rsidP="00A037F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relación a los contratos que celebren las Instituciones con los comisionistas se encuentra que deben establecerse cláusulas que impidan al comisionista procesar, transmitir, guardar, modificar o copiar la información de los factores de autenticación necesarios para llevar a cabo las operaciones</w:t>
      </w:r>
      <w:r w:rsidR="00D52057">
        <w:rPr>
          <w:rFonts w:ascii="Times New Roman" w:hAnsi="Times New Roman" w:cs="Times New Roman"/>
          <w:sz w:val="24"/>
          <w:szCs w:val="24"/>
        </w:rPr>
        <w:t>, la utilización y procesamiento de la información de los clientes</w:t>
      </w:r>
      <w:r w:rsidR="0077498C">
        <w:rPr>
          <w:rFonts w:ascii="Times New Roman" w:hAnsi="Times New Roman" w:cs="Times New Roman"/>
          <w:sz w:val="24"/>
          <w:szCs w:val="24"/>
        </w:rPr>
        <w:t xml:space="preserve"> mediante mensajes cifrados</w:t>
      </w:r>
      <w:r w:rsidR="00D52057">
        <w:rPr>
          <w:rFonts w:ascii="Times New Roman" w:hAnsi="Times New Roman" w:cs="Times New Roman"/>
          <w:sz w:val="24"/>
          <w:szCs w:val="24"/>
        </w:rPr>
        <w:t xml:space="preserve">, los tiempos máximos para realizar las operaciones, </w:t>
      </w:r>
      <w:r w:rsidR="0077498C">
        <w:rPr>
          <w:rFonts w:ascii="Times New Roman" w:hAnsi="Times New Roman" w:cs="Times New Roman"/>
          <w:sz w:val="24"/>
          <w:szCs w:val="24"/>
        </w:rPr>
        <w:t xml:space="preserve">información de los empleados y avisos de los cambios de los mismos, </w:t>
      </w:r>
      <w:r w:rsidR="00D52057">
        <w:rPr>
          <w:rFonts w:ascii="Times New Roman" w:hAnsi="Times New Roman" w:cs="Times New Roman"/>
          <w:sz w:val="24"/>
          <w:szCs w:val="24"/>
        </w:rPr>
        <w:t>entre otras.</w:t>
      </w:r>
    </w:p>
    <w:p w14:paraId="67C7CB6F" w14:textId="0376D6FB" w:rsidR="00C9039A" w:rsidRPr="00C9039A" w:rsidRDefault="00BD582F" w:rsidP="00A037F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42D32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C9039A" w:rsidRPr="00C9039A">
        <w:rPr>
          <w:rFonts w:ascii="Times New Roman" w:hAnsi="Times New Roman" w:cs="Times New Roman"/>
          <w:b/>
          <w:bCs/>
          <w:sz w:val="24"/>
          <w:szCs w:val="24"/>
        </w:rPr>
        <w:t>. Plan Estratégico de Negocios</w:t>
      </w:r>
      <w:r w:rsidR="00443E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5B8370" w14:textId="7F3DB19A" w:rsidR="00E06384" w:rsidRDefault="0077498C" w:rsidP="0036737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llevar a cabo operaciones con comisionistas es necesario que las Instituciones presenten para autorización de la CNBV, previo a la firma del contrato de </w:t>
      </w:r>
      <w:r w:rsidR="00367374">
        <w:rPr>
          <w:rFonts w:ascii="Times New Roman" w:hAnsi="Times New Roman" w:cs="Times New Roman"/>
          <w:sz w:val="24"/>
          <w:szCs w:val="24"/>
        </w:rPr>
        <w:t>comisión</w:t>
      </w:r>
      <w:r>
        <w:rPr>
          <w:rFonts w:ascii="Times New Roman" w:hAnsi="Times New Roman" w:cs="Times New Roman"/>
          <w:sz w:val="24"/>
          <w:szCs w:val="24"/>
        </w:rPr>
        <w:t xml:space="preserve"> mercantil </w:t>
      </w:r>
      <w:r>
        <w:rPr>
          <w:rFonts w:ascii="Times New Roman" w:hAnsi="Times New Roman" w:cs="Times New Roman"/>
          <w:sz w:val="24"/>
          <w:szCs w:val="24"/>
        </w:rPr>
        <w:lastRenderedPageBreak/>
        <w:t>y por única ocasión un plan estratégico de negocios (comúnmente conocido como PEN)</w:t>
      </w:r>
      <w:r w:rsidR="00367374">
        <w:rPr>
          <w:rFonts w:ascii="Times New Roman" w:hAnsi="Times New Roman" w:cs="Times New Roman"/>
          <w:sz w:val="24"/>
          <w:szCs w:val="24"/>
        </w:rPr>
        <w:t xml:space="preserve">, </w:t>
      </w:r>
      <w:r w:rsidR="00E94267">
        <w:rPr>
          <w:rFonts w:ascii="Times New Roman" w:hAnsi="Times New Roman" w:cs="Times New Roman"/>
          <w:sz w:val="24"/>
          <w:szCs w:val="24"/>
        </w:rPr>
        <w:t xml:space="preserve">el cual </w:t>
      </w:r>
      <w:r w:rsidR="00F42D32">
        <w:rPr>
          <w:rFonts w:ascii="Times New Roman" w:hAnsi="Times New Roman" w:cs="Times New Roman"/>
          <w:sz w:val="24"/>
          <w:szCs w:val="24"/>
        </w:rPr>
        <w:t>debe</w:t>
      </w:r>
      <w:r w:rsidR="00E94267">
        <w:rPr>
          <w:rFonts w:ascii="Times New Roman" w:hAnsi="Times New Roman" w:cs="Times New Roman"/>
          <w:sz w:val="24"/>
          <w:szCs w:val="24"/>
        </w:rPr>
        <w:t xml:space="preserve"> prever el cumplimiento de los requisitos señalados anteriormente</w:t>
      </w:r>
      <w:r w:rsidR="00F04638">
        <w:rPr>
          <w:rFonts w:ascii="Times New Roman" w:hAnsi="Times New Roman" w:cs="Times New Roman"/>
          <w:sz w:val="24"/>
          <w:szCs w:val="24"/>
        </w:rPr>
        <w:t xml:space="preserve"> y contenidos en los anexos</w:t>
      </w:r>
      <w:r w:rsidR="0001717A">
        <w:rPr>
          <w:rFonts w:ascii="Times New Roman" w:hAnsi="Times New Roman" w:cs="Times New Roman"/>
          <w:sz w:val="24"/>
          <w:szCs w:val="24"/>
        </w:rPr>
        <w:t xml:space="preserve"> 57,</w:t>
      </w:r>
      <w:r w:rsidR="00F04638">
        <w:rPr>
          <w:rFonts w:ascii="Times New Roman" w:hAnsi="Times New Roman" w:cs="Times New Roman"/>
          <w:sz w:val="24"/>
          <w:szCs w:val="24"/>
        </w:rPr>
        <w:t xml:space="preserve"> 58 y 59</w:t>
      </w:r>
      <w:r w:rsidR="00E94267">
        <w:rPr>
          <w:rFonts w:ascii="Times New Roman" w:hAnsi="Times New Roman" w:cs="Times New Roman"/>
          <w:sz w:val="24"/>
          <w:szCs w:val="24"/>
        </w:rPr>
        <w:t>, así como el modelo de contrato de comisión mercantil</w:t>
      </w:r>
      <w:r w:rsidR="00E06384">
        <w:rPr>
          <w:rFonts w:ascii="Times New Roman" w:hAnsi="Times New Roman" w:cs="Times New Roman"/>
          <w:sz w:val="24"/>
          <w:szCs w:val="24"/>
        </w:rPr>
        <w:t>.</w:t>
      </w:r>
    </w:p>
    <w:p w14:paraId="709998F2" w14:textId="268DEC7A" w:rsidR="00EF011B" w:rsidRDefault="00E06384" w:rsidP="0036737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F42D32">
        <w:rPr>
          <w:rFonts w:ascii="Times New Roman" w:hAnsi="Times New Roman" w:cs="Times New Roman"/>
          <w:sz w:val="24"/>
          <w:szCs w:val="24"/>
        </w:rPr>
        <w:t xml:space="preserve">Acuerdo </w:t>
      </w:r>
      <w:r>
        <w:rPr>
          <w:rFonts w:ascii="Times New Roman" w:hAnsi="Times New Roman" w:cs="Times New Roman"/>
          <w:sz w:val="24"/>
          <w:szCs w:val="24"/>
        </w:rPr>
        <w:t>no modifica las causales por las cuales las Instituciones deberán solicitar una nueva autorización al PEN aprobado,</w:t>
      </w:r>
      <w:r w:rsidR="0088525B">
        <w:rPr>
          <w:rFonts w:ascii="Times New Roman" w:hAnsi="Times New Roman" w:cs="Times New Roman"/>
          <w:sz w:val="24"/>
          <w:szCs w:val="24"/>
        </w:rPr>
        <w:t xml:space="preserve"> las cuales continúan </w:t>
      </w:r>
      <w:r w:rsidR="00EF011B">
        <w:rPr>
          <w:rFonts w:ascii="Times New Roman" w:hAnsi="Times New Roman" w:cs="Times New Roman"/>
          <w:sz w:val="24"/>
          <w:szCs w:val="24"/>
        </w:rPr>
        <w:t>siendo:</w:t>
      </w:r>
    </w:p>
    <w:p w14:paraId="668CAB38" w14:textId="2F72BD9E" w:rsidR="003757CC" w:rsidRDefault="00EF011B" w:rsidP="0036737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E5E"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D32">
        <w:rPr>
          <w:rFonts w:ascii="Times New Roman" w:hAnsi="Times New Roman" w:cs="Times New Roman"/>
          <w:sz w:val="24"/>
          <w:szCs w:val="24"/>
        </w:rPr>
        <w:t>R</w:t>
      </w:r>
      <w:r w:rsidR="000C7332">
        <w:rPr>
          <w:rFonts w:ascii="Times New Roman" w:hAnsi="Times New Roman" w:cs="Times New Roman"/>
          <w:sz w:val="24"/>
          <w:szCs w:val="24"/>
        </w:rPr>
        <w:t xml:space="preserve">eformas </w:t>
      </w:r>
      <w:r w:rsidR="00522CBB">
        <w:rPr>
          <w:rFonts w:ascii="Times New Roman" w:hAnsi="Times New Roman" w:cs="Times New Roman"/>
          <w:sz w:val="24"/>
          <w:szCs w:val="24"/>
        </w:rPr>
        <w:t>que impliquen cambios</w:t>
      </w:r>
      <w:r w:rsidR="003757CC">
        <w:rPr>
          <w:rFonts w:ascii="Times New Roman" w:hAnsi="Times New Roman" w:cs="Times New Roman"/>
          <w:sz w:val="24"/>
          <w:szCs w:val="24"/>
        </w:rPr>
        <w:t xml:space="preserve"> a los términos en los que realizarían las operaciones</w:t>
      </w:r>
      <w:r w:rsidR="009F64BC">
        <w:rPr>
          <w:rFonts w:ascii="Times New Roman" w:hAnsi="Times New Roman" w:cs="Times New Roman"/>
          <w:sz w:val="24"/>
          <w:szCs w:val="24"/>
        </w:rPr>
        <w:t>;</w:t>
      </w:r>
    </w:p>
    <w:p w14:paraId="5713D926" w14:textId="5D240468" w:rsidR="001C2C6A" w:rsidRDefault="003757CC" w:rsidP="0036737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E5E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2D32">
        <w:rPr>
          <w:rFonts w:ascii="Times New Roman" w:hAnsi="Times New Roman" w:cs="Times New Roman"/>
          <w:sz w:val="24"/>
          <w:szCs w:val="24"/>
        </w:rPr>
        <w:t>C</w:t>
      </w:r>
      <w:r w:rsidR="008A359C">
        <w:rPr>
          <w:rFonts w:ascii="Times New Roman" w:hAnsi="Times New Roman" w:cs="Times New Roman"/>
          <w:sz w:val="24"/>
          <w:szCs w:val="24"/>
        </w:rPr>
        <w:t xml:space="preserve">ambios sustanciales </w:t>
      </w:r>
      <w:r w:rsidR="00976303">
        <w:rPr>
          <w:rFonts w:ascii="Times New Roman" w:hAnsi="Times New Roman" w:cs="Times New Roman"/>
          <w:sz w:val="24"/>
          <w:szCs w:val="24"/>
        </w:rPr>
        <w:t xml:space="preserve">en las condiciones </w:t>
      </w:r>
      <w:r w:rsidR="001C2C6A">
        <w:rPr>
          <w:rFonts w:ascii="Times New Roman" w:hAnsi="Times New Roman" w:cs="Times New Roman"/>
          <w:sz w:val="24"/>
          <w:szCs w:val="24"/>
        </w:rPr>
        <w:t>y obligaciones del contrato</w:t>
      </w:r>
      <w:r w:rsidR="009F64BC">
        <w:rPr>
          <w:rFonts w:ascii="Times New Roman" w:hAnsi="Times New Roman" w:cs="Times New Roman"/>
          <w:sz w:val="24"/>
          <w:szCs w:val="24"/>
        </w:rPr>
        <w:t>;</w:t>
      </w:r>
    </w:p>
    <w:p w14:paraId="28242F90" w14:textId="65D14705" w:rsidR="0003216F" w:rsidRDefault="001C2C6A" w:rsidP="0036737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E5E">
        <w:rPr>
          <w:rFonts w:ascii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D32">
        <w:rPr>
          <w:rFonts w:ascii="Times New Roman" w:hAnsi="Times New Roman" w:cs="Times New Roman"/>
          <w:sz w:val="24"/>
          <w:szCs w:val="24"/>
        </w:rPr>
        <w:t>O</w:t>
      </w:r>
      <w:r w:rsidR="00025D69">
        <w:rPr>
          <w:rFonts w:ascii="Times New Roman" w:hAnsi="Times New Roman" w:cs="Times New Roman"/>
          <w:sz w:val="24"/>
          <w:szCs w:val="24"/>
        </w:rPr>
        <w:t>peraciones</w:t>
      </w:r>
      <w:r>
        <w:rPr>
          <w:rFonts w:ascii="Times New Roman" w:hAnsi="Times New Roman" w:cs="Times New Roman"/>
          <w:sz w:val="24"/>
          <w:szCs w:val="24"/>
        </w:rPr>
        <w:t xml:space="preserve"> no incluidas en el PEN</w:t>
      </w:r>
      <w:r w:rsidR="00025D69">
        <w:rPr>
          <w:rFonts w:ascii="Times New Roman" w:hAnsi="Times New Roman" w:cs="Times New Roman"/>
          <w:sz w:val="24"/>
          <w:szCs w:val="24"/>
        </w:rPr>
        <w:t>;</w:t>
      </w:r>
    </w:p>
    <w:p w14:paraId="32363F76" w14:textId="631D4972" w:rsidR="00025D69" w:rsidRDefault="00190994" w:rsidP="0036737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E5E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025D69" w:rsidRPr="00A36E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25D69">
        <w:rPr>
          <w:rFonts w:ascii="Times New Roman" w:hAnsi="Times New Roman" w:cs="Times New Roman"/>
          <w:sz w:val="24"/>
          <w:szCs w:val="24"/>
        </w:rPr>
        <w:t xml:space="preserve"> </w:t>
      </w:r>
      <w:r w:rsidR="00F42D32">
        <w:rPr>
          <w:rFonts w:ascii="Times New Roman" w:hAnsi="Times New Roman" w:cs="Times New Roman"/>
          <w:sz w:val="24"/>
          <w:szCs w:val="24"/>
        </w:rPr>
        <w:t>I</w:t>
      </w:r>
      <w:r w:rsidR="005A235D">
        <w:rPr>
          <w:rFonts w:ascii="Times New Roman" w:hAnsi="Times New Roman" w:cs="Times New Roman"/>
          <w:sz w:val="24"/>
          <w:szCs w:val="24"/>
        </w:rPr>
        <w:t>mplementación de una nueva tecnología</w:t>
      </w:r>
      <w:r w:rsidR="00521CD1">
        <w:rPr>
          <w:rFonts w:ascii="Times New Roman" w:hAnsi="Times New Roman" w:cs="Times New Roman"/>
          <w:sz w:val="24"/>
          <w:szCs w:val="24"/>
        </w:rPr>
        <w:t>, u</w:t>
      </w:r>
    </w:p>
    <w:p w14:paraId="087F7CCC" w14:textId="52786390" w:rsidR="005A235D" w:rsidRDefault="00A36E5E" w:rsidP="0036737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E5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A235D" w:rsidRPr="00A36E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A235D">
        <w:rPr>
          <w:rFonts w:ascii="Times New Roman" w:hAnsi="Times New Roman" w:cs="Times New Roman"/>
          <w:sz w:val="24"/>
          <w:szCs w:val="24"/>
        </w:rPr>
        <w:t xml:space="preserve"> </w:t>
      </w:r>
      <w:r w:rsidR="00F42D32">
        <w:rPr>
          <w:rFonts w:ascii="Times New Roman" w:hAnsi="Times New Roman" w:cs="Times New Roman"/>
          <w:sz w:val="24"/>
          <w:szCs w:val="24"/>
        </w:rPr>
        <w:t>O</w:t>
      </w:r>
      <w:r w:rsidR="00190994">
        <w:rPr>
          <w:rFonts w:ascii="Times New Roman" w:hAnsi="Times New Roman" w:cs="Times New Roman"/>
          <w:sz w:val="24"/>
          <w:szCs w:val="24"/>
        </w:rPr>
        <w:t>perar con nuevos comisionistas no previstos en el PEN</w:t>
      </w:r>
      <w:r w:rsidR="00521CD1">
        <w:rPr>
          <w:rFonts w:ascii="Times New Roman" w:hAnsi="Times New Roman" w:cs="Times New Roman"/>
          <w:sz w:val="24"/>
          <w:szCs w:val="24"/>
        </w:rPr>
        <w:t>.</w:t>
      </w:r>
    </w:p>
    <w:p w14:paraId="69E2F481" w14:textId="34D8D93B" w:rsidR="0077498C" w:rsidRDefault="00E94267" w:rsidP="0036737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 embargo</w:t>
      </w:r>
      <w:r w:rsidR="00A60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 </w:t>
      </w:r>
      <w:r w:rsidR="00F42D32">
        <w:rPr>
          <w:rFonts w:ascii="Times New Roman" w:hAnsi="Times New Roman" w:cs="Times New Roman"/>
          <w:sz w:val="24"/>
          <w:szCs w:val="24"/>
        </w:rPr>
        <w:t>Acuerdo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E22">
        <w:rPr>
          <w:rFonts w:ascii="Times New Roman" w:hAnsi="Times New Roman" w:cs="Times New Roman"/>
          <w:sz w:val="24"/>
          <w:szCs w:val="24"/>
        </w:rPr>
        <w:t xml:space="preserve">es contradictorio en </w:t>
      </w:r>
      <w:r w:rsidR="00852E47">
        <w:rPr>
          <w:rFonts w:ascii="Times New Roman" w:hAnsi="Times New Roman" w:cs="Times New Roman"/>
          <w:sz w:val="24"/>
          <w:szCs w:val="24"/>
        </w:rPr>
        <w:t xml:space="preserve">los </w:t>
      </w:r>
      <w:r w:rsidR="00D16E22">
        <w:rPr>
          <w:rFonts w:ascii="Times New Roman" w:hAnsi="Times New Roman" w:cs="Times New Roman"/>
          <w:sz w:val="24"/>
          <w:szCs w:val="24"/>
        </w:rPr>
        <w:t>supuesto</w:t>
      </w:r>
      <w:r w:rsidR="00852E47">
        <w:rPr>
          <w:rFonts w:ascii="Times New Roman" w:hAnsi="Times New Roman" w:cs="Times New Roman"/>
          <w:sz w:val="24"/>
          <w:szCs w:val="24"/>
        </w:rPr>
        <w:t>s</w:t>
      </w:r>
      <w:r w:rsidR="00FD5105">
        <w:rPr>
          <w:rFonts w:ascii="Times New Roman" w:hAnsi="Times New Roman" w:cs="Times New Roman"/>
          <w:sz w:val="24"/>
          <w:szCs w:val="24"/>
        </w:rPr>
        <w:t xml:space="preserve"> </w:t>
      </w:r>
      <w:r w:rsidR="00FD5105" w:rsidRPr="00FD5105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912F71">
        <w:rPr>
          <w:rFonts w:ascii="Times New Roman" w:hAnsi="Times New Roman" w:cs="Times New Roman"/>
          <w:sz w:val="24"/>
          <w:szCs w:val="24"/>
        </w:rPr>
        <w:t xml:space="preserve">, </w:t>
      </w:r>
      <w:r w:rsidR="00912F71" w:rsidRPr="00912F7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912F71">
        <w:rPr>
          <w:rFonts w:ascii="Times New Roman" w:hAnsi="Times New Roman" w:cs="Times New Roman"/>
          <w:sz w:val="24"/>
          <w:szCs w:val="24"/>
        </w:rPr>
        <w:t xml:space="preserve"> </w:t>
      </w:r>
      <w:r w:rsidR="00FD5105">
        <w:rPr>
          <w:rFonts w:ascii="Times New Roman" w:hAnsi="Times New Roman" w:cs="Times New Roman"/>
          <w:sz w:val="24"/>
          <w:szCs w:val="24"/>
        </w:rPr>
        <w:t xml:space="preserve">y </w:t>
      </w:r>
      <w:r w:rsidR="00FD5105" w:rsidRPr="00FD510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D5105">
        <w:rPr>
          <w:rFonts w:ascii="Times New Roman" w:hAnsi="Times New Roman" w:cs="Times New Roman"/>
          <w:sz w:val="24"/>
          <w:szCs w:val="24"/>
        </w:rPr>
        <w:t xml:space="preserve"> anteriores</w:t>
      </w:r>
      <w:r w:rsidR="00D16E22">
        <w:rPr>
          <w:rFonts w:ascii="Times New Roman" w:hAnsi="Times New Roman" w:cs="Times New Roman"/>
          <w:sz w:val="24"/>
          <w:szCs w:val="24"/>
        </w:rPr>
        <w:t xml:space="preserve">, ya que la norma obliga a una nueva autorización del PEN, mientras que el </w:t>
      </w:r>
      <w:r w:rsidR="00F42D32">
        <w:rPr>
          <w:rFonts w:ascii="Times New Roman" w:hAnsi="Times New Roman" w:cs="Times New Roman"/>
          <w:sz w:val="24"/>
          <w:szCs w:val="24"/>
        </w:rPr>
        <w:t>Acuerdo</w:t>
      </w:r>
      <w:r w:rsidR="00D16E22">
        <w:rPr>
          <w:rFonts w:ascii="Times New Roman" w:hAnsi="Times New Roman" w:cs="Times New Roman"/>
          <w:sz w:val="24"/>
          <w:szCs w:val="24"/>
        </w:rPr>
        <w:t xml:space="preserve"> solamente establece que la </w:t>
      </w:r>
      <w:r w:rsidR="00E06384">
        <w:rPr>
          <w:rFonts w:ascii="Times New Roman" w:hAnsi="Times New Roman" w:cs="Times New Roman"/>
          <w:sz w:val="24"/>
          <w:szCs w:val="24"/>
        </w:rPr>
        <w:t>CNBV</w:t>
      </w:r>
      <w:r w:rsidR="00D16E22">
        <w:rPr>
          <w:rFonts w:ascii="Times New Roman" w:hAnsi="Times New Roman" w:cs="Times New Roman"/>
          <w:sz w:val="24"/>
          <w:szCs w:val="24"/>
        </w:rPr>
        <w:t xml:space="preserve"> deberá </w:t>
      </w:r>
      <w:r w:rsidR="00737AA2">
        <w:rPr>
          <w:rFonts w:ascii="Times New Roman" w:hAnsi="Times New Roman" w:cs="Times New Roman"/>
          <w:sz w:val="24"/>
          <w:szCs w:val="24"/>
        </w:rPr>
        <w:t>(</w:t>
      </w:r>
      <w:r w:rsidR="00737AA2" w:rsidRPr="00737AA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37AA2">
        <w:rPr>
          <w:rFonts w:ascii="Times New Roman" w:hAnsi="Times New Roman" w:cs="Times New Roman"/>
          <w:sz w:val="24"/>
          <w:szCs w:val="24"/>
        </w:rPr>
        <w:t xml:space="preserve">) </w:t>
      </w:r>
      <w:r w:rsidR="00D16E22">
        <w:rPr>
          <w:rFonts w:ascii="Times New Roman" w:hAnsi="Times New Roman" w:cs="Times New Roman"/>
          <w:sz w:val="24"/>
          <w:szCs w:val="24"/>
        </w:rPr>
        <w:t>autorizar el anexo 5</w:t>
      </w:r>
      <w:r w:rsidR="003D7A1B">
        <w:rPr>
          <w:rFonts w:ascii="Times New Roman" w:hAnsi="Times New Roman" w:cs="Times New Roman"/>
          <w:sz w:val="24"/>
          <w:szCs w:val="24"/>
        </w:rPr>
        <w:t>9</w:t>
      </w:r>
      <w:r w:rsidR="00C8538F">
        <w:rPr>
          <w:rFonts w:ascii="Times New Roman" w:hAnsi="Times New Roman" w:cs="Times New Roman"/>
          <w:sz w:val="24"/>
          <w:szCs w:val="24"/>
        </w:rPr>
        <w:t xml:space="preserve"> (requerimientos técnicos)</w:t>
      </w:r>
      <w:r w:rsidR="00D16E22" w:rsidRPr="00D16E22">
        <w:rPr>
          <w:rFonts w:ascii="Montserrat" w:hAnsi="Montserrat"/>
          <w:b/>
          <w:bCs/>
        </w:rPr>
        <w:t xml:space="preserve"> </w:t>
      </w:r>
      <w:r w:rsidR="00D16E22" w:rsidRPr="00D16E22">
        <w:rPr>
          <w:rFonts w:ascii="Times New Roman" w:hAnsi="Times New Roman" w:cs="Times New Roman"/>
          <w:sz w:val="24"/>
          <w:szCs w:val="24"/>
        </w:rPr>
        <w:t>y, en su caso, la descripción de la nueva tecnología y su implementación</w:t>
      </w:r>
      <w:r w:rsidR="00737AA2">
        <w:rPr>
          <w:rFonts w:ascii="Times New Roman" w:hAnsi="Times New Roman" w:cs="Times New Roman"/>
          <w:sz w:val="24"/>
          <w:szCs w:val="24"/>
        </w:rPr>
        <w:t>, y (</w:t>
      </w:r>
      <w:r w:rsidR="00737AA2" w:rsidRPr="00737AA2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37AA2">
        <w:rPr>
          <w:rFonts w:ascii="Times New Roman" w:hAnsi="Times New Roman" w:cs="Times New Roman"/>
          <w:sz w:val="24"/>
          <w:szCs w:val="24"/>
        </w:rPr>
        <w:t>)</w:t>
      </w:r>
      <w:r w:rsidR="00D16E22">
        <w:rPr>
          <w:rFonts w:ascii="Times New Roman" w:hAnsi="Times New Roman" w:cs="Times New Roman"/>
          <w:sz w:val="24"/>
          <w:szCs w:val="24"/>
        </w:rPr>
        <w:t xml:space="preserve"> el</w:t>
      </w:r>
      <w:r w:rsidR="00737AA2">
        <w:rPr>
          <w:rFonts w:ascii="Times New Roman" w:hAnsi="Times New Roman" w:cs="Times New Roman"/>
          <w:sz w:val="24"/>
          <w:szCs w:val="24"/>
        </w:rPr>
        <w:t xml:space="preserve"> proyecto</w:t>
      </w:r>
      <w:r w:rsidR="00D16E22">
        <w:rPr>
          <w:rFonts w:ascii="Times New Roman" w:hAnsi="Times New Roman" w:cs="Times New Roman"/>
          <w:sz w:val="24"/>
          <w:szCs w:val="24"/>
        </w:rPr>
        <w:t xml:space="preserve"> </w:t>
      </w:r>
      <w:r w:rsidR="00B8790C">
        <w:rPr>
          <w:rFonts w:ascii="Times New Roman" w:hAnsi="Times New Roman" w:cs="Times New Roman"/>
          <w:sz w:val="24"/>
          <w:szCs w:val="24"/>
        </w:rPr>
        <w:t>de</w:t>
      </w:r>
      <w:r w:rsidR="00D16E22">
        <w:rPr>
          <w:rFonts w:ascii="Times New Roman" w:hAnsi="Times New Roman" w:cs="Times New Roman"/>
          <w:sz w:val="24"/>
          <w:szCs w:val="24"/>
        </w:rPr>
        <w:t xml:space="preserve"> contrato de comisión mercantil de conformidad con el PEN autorizado.</w:t>
      </w:r>
    </w:p>
    <w:p w14:paraId="11C09B4D" w14:textId="4409E2A6" w:rsidR="00B466C1" w:rsidRDefault="007A4AB7" w:rsidP="0036737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A6260">
        <w:rPr>
          <w:rFonts w:ascii="Times New Roman" w:hAnsi="Times New Roman" w:cs="Times New Roman"/>
          <w:sz w:val="24"/>
          <w:szCs w:val="24"/>
        </w:rPr>
        <w:t>Cabe señalar</w:t>
      </w:r>
      <w:r w:rsidR="00940BD0">
        <w:rPr>
          <w:rFonts w:ascii="Times New Roman" w:hAnsi="Times New Roman" w:cs="Times New Roman"/>
          <w:sz w:val="24"/>
          <w:szCs w:val="24"/>
        </w:rPr>
        <w:t>,</w:t>
      </w:r>
      <w:r w:rsidRPr="008A6260">
        <w:rPr>
          <w:rFonts w:ascii="Times New Roman" w:hAnsi="Times New Roman" w:cs="Times New Roman"/>
          <w:sz w:val="24"/>
          <w:szCs w:val="24"/>
        </w:rPr>
        <w:t xml:space="preserve"> que el </w:t>
      </w:r>
      <w:r w:rsidR="00F42D32">
        <w:rPr>
          <w:rFonts w:ascii="Times New Roman" w:hAnsi="Times New Roman" w:cs="Times New Roman"/>
          <w:sz w:val="24"/>
          <w:szCs w:val="24"/>
        </w:rPr>
        <w:t>Acuerdo</w:t>
      </w:r>
      <w:r w:rsidRPr="008A6260">
        <w:rPr>
          <w:rFonts w:ascii="Times New Roman" w:hAnsi="Times New Roman" w:cs="Times New Roman"/>
          <w:sz w:val="24"/>
          <w:szCs w:val="24"/>
        </w:rPr>
        <w:t xml:space="preserve"> </w:t>
      </w:r>
      <w:r w:rsidR="00940BD0">
        <w:rPr>
          <w:rFonts w:ascii="Times New Roman" w:hAnsi="Times New Roman" w:cs="Times New Roman"/>
          <w:sz w:val="24"/>
          <w:szCs w:val="24"/>
        </w:rPr>
        <w:t>establece que</w:t>
      </w:r>
      <w:r w:rsidR="00EF2F3D" w:rsidRPr="008A6260">
        <w:rPr>
          <w:rFonts w:ascii="Times New Roman" w:hAnsi="Times New Roman" w:cs="Times New Roman"/>
          <w:sz w:val="24"/>
          <w:szCs w:val="24"/>
        </w:rPr>
        <w:t xml:space="preserve"> el proyecto </w:t>
      </w:r>
      <w:r w:rsidR="002E54F6" w:rsidRPr="008A6260">
        <w:rPr>
          <w:rFonts w:ascii="Times New Roman" w:hAnsi="Times New Roman" w:cs="Times New Roman"/>
          <w:sz w:val="24"/>
          <w:szCs w:val="24"/>
        </w:rPr>
        <w:t>de contrato antes señalado en el inciso (</w:t>
      </w:r>
      <w:r w:rsidR="002E54F6" w:rsidRPr="00940BD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2E54F6" w:rsidRPr="008A6260">
        <w:rPr>
          <w:rFonts w:ascii="Times New Roman" w:hAnsi="Times New Roman" w:cs="Times New Roman"/>
          <w:sz w:val="24"/>
          <w:szCs w:val="24"/>
        </w:rPr>
        <w:t xml:space="preserve">), </w:t>
      </w:r>
      <w:r w:rsidR="00F42D32">
        <w:rPr>
          <w:rFonts w:ascii="Times New Roman" w:hAnsi="Times New Roman" w:cs="Times New Roman"/>
          <w:sz w:val="24"/>
          <w:szCs w:val="24"/>
        </w:rPr>
        <w:t>debe</w:t>
      </w:r>
      <w:r w:rsidR="002E54F6" w:rsidRPr="008A6260">
        <w:rPr>
          <w:rFonts w:ascii="Times New Roman" w:hAnsi="Times New Roman" w:cs="Times New Roman"/>
          <w:sz w:val="24"/>
          <w:szCs w:val="24"/>
        </w:rPr>
        <w:t xml:space="preserve"> contemplar los requisitos establecidos en </w:t>
      </w:r>
      <w:r w:rsidR="00940BD0">
        <w:rPr>
          <w:rFonts w:ascii="Times New Roman" w:hAnsi="Times New Roman" w:cs="Times New Roman"/>
          <w:sz w:val="24"/>
          <w:szCs w:val="24"/>
        </w:rPr>
        <w:t>las Disposiciones</w:t>
      </w:r>
      <w:r w:rsidR="00A1374B" w:rsidRPr="008A6260">
        <w:rPr>
          <w:rFonts w:ascii="Times New Roman" w:hAnsi="Times New Roman" w:cs="Times New Roman"/>
          <w:sz w:val="24"/>
          <w:szCs w:val="24"/>
        </w:rPr>
        <w:t xml:space="preserve"> con </w:t>
      </w:r>
      <w:r w:rsidRPr="008A6260">
        <w:rPr>
          <w:rFonts w:ascii="Times New Roman" w:hAnsi="Times New Roman" w:cs="Times New Roman"/>
          <w:sz w:val="24"/>
          <w:szCs w:val="24"/>
        </w:rPr>
        <w:t>excepción</w:t>
      </w:r>
      <w:r w:rsidR="00A1374B" w:rsidRPr="008A6260">
        <w:rPr>
          <w:rFonts w:ascii="Times New Roman" w:hAnsi="Times New Roman" w:cs="Times New Roman"/>
          <w:sz w:val="24"/>
          <w:szCs w:val="24"/>
        </w:rPr>
        <w:t xml:space="preserve"> de </w:t>
      </w:r>
      <w:r w:rsidR="00E85AC9" w:rsidRPr="008A6260">
        <w:rPr>
          <w:rFonts w:ascii="Times New Roman" w:hAnsi="Times New Roman" w:cs="Times New Roman"/>
          <w:sz w:val="24"/>
          <w:szCs w:val="24"/>
        </w:rPr>
        <w:t>lo establecido</w:t>
      </w:r>
      <w:r w:rsidR="003D2A92" w:rsidRPr="008A6260">
        <w:rPr>
          <w:rFonts w:ascii="Times New Roman" w:hAnsi="Times New Roman" w:cs="Times New Roman"/>
          <w:sz w:val="24"/>
          <w:szCs w:val="24"/>
        </w:rPr>
        <w:t xml:space="preserve"> en el segundo párrafo</w:t>
      </w:r>
      <w:r w:rsidR="007A7D99" w:rsidRPr="008A6260">
        <w:rPr>
          <w:rFonts w:ascii="Times New Roman" w:hAnsi="Times New Roman" w:cs="Times New Roman"/>
          <w:sz w:val="24"/>
          <w:szCs w:val="24"/>
        </w:rPr>
        <w:t>, fracción I del artículo 324</w:t>
      </w:r>
      <w:r w:rsidR="008A6260" w:rsidRPr="008A6260">
        <w:rPr>
          <w:rFonts w:ascii="Times New Roman" w:hAnsi="Times New Roman" w:cs="Times New Roman"/>
          <w:sz w:val="24"/>
          <w:szCs w:val="24"/>
        </w:rPr>
        <w:t xml:space="preserve">, </w:t>
      </w:r>
      <w:r w:rsidR="002B02B3" w:rsidRPr="008A6260">
        <w:rPr>
          <w:rFonts w:ascii="Times New Roman" w:hAnsi="Times New Roman" w:cs="Times New Roman"/>
          <w:sz w:val="24"/>
          <w:szCs w:val="24"/>
        </w:rPr>
        <w:t>es decir</w:t>
      </w:r>
      <w:r w:rsidR="00346273" w:rsidRPr="008A6260">
        <w:rPr>
          <w:rFonts w:ascii="Times New Roman" w:hAnsi="Times New Roman" w:cs="Times New Roman"/>
          <w:sz w:val="24"/>
          <w:szCs w:val="24"/>
        </w:rPr>
        <w:t xml:space="preserve"> </w:t>
      </w:r>
      <w:r w:rsidR="002B02B3" w:rsidRPr="008A6260">
        <w:rPr>
          <w:rFonts w:ascii="Times New Roman" w:hAnsi="Times New Roman" w:cs="Times New Roman"/>
          <w:sz w:val="24"/>
          <w:szCs w:val="24"/>
        </w:rPr>
        <w:t xml:space="preserve">las operaciones que </w:t>
      </w:r>
      <w:r w:rsidR="00C00EB1" w:rsidRPr="008A6260">
        <w:rPr>
          <w:rFonts w:ascii="Times New Roman" w:hAnsi="Times New Roman" w:cs="Times New Roman"/>
          <w:sz w:val="24"/>
          <w:szCs w:val="24"/>
        </w:rPr>
        <w:t xml:space="preserve">el administrador de </w:t>
      </w:r>
      <w:r w:rsidR="008A6260" w:rsidRPr="008A6260">
        <w:rPr>
          <w:rFonts w:ascii="Times New Roman" w:hAnsi="Times New Roman" w:cs="Times New Roman"/>
          <w:sz w:val="24"/>
          <w:szCs w:val="24"/>
        </w:rPr>
        <w:t>comisionistas</w:t>
      </w:r>
      <w:r w:rsidR="00C00EB1" w:rsidRPr="008A6260">
        <w:rPr>
          <w:rFonts w:ascii="Times New Roman" w:hAnsi="Times New Roman" w:cs="Times New Roman"/>
          <w:sz w:val="24"/>
          <w:szCs w:val="24"/>
        </w:rPr>
        <w:t xml:space="preserve"> contratará a nombre de las institucione</w:t>
      </w:r>
      <w:r w:rsidR="0048017B">
        <w:rPr>
          <w:rFonts w:ascii="Times New Roman" w:hAnsi="Times New Roman" w:cs="Times New Roman"/>
          <w:sz w:val="24"/>
          <w:szCs w:val="24"/>
        </w:rPr>
        <w:t>s</w:t>
      </w:r>
      <w:r w:rsidR="008A6260" w:rsidRPr="008A6260">
        <w:rPr>
          <w:rFonts w:ascii="Times New Roman" w:hAnsi="Times New Roman" w:cs="Times New Roman"/>
          <w:sz w:val="24"/>
          <w:szCs w:val="24"/>
        </w:rPr>
        <w:t>.</w:t>
      </w:r>
    </w:p>
    <w:p w14:paraId="35A4AAB6" w14:textId="285296FB" w:rsidR="00334A65" w:rsidRDefault="00F42D32" w:rsidP="00334A65">
      <w:pPr>
        <w:spacing w:afterLines="100" w:after="24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C6907" w:rsidRPr="00AC6907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334A65">
        <w:rPr>
          <w:rFonts w:ascii="Times New Roman" w:hAnsi="Times New Roman" w:cs="Times New Roman"/>
          <w:b/>
          <w:bCs/>
          <w:sz w:val="24"/>
          <w:szCs w:val="24"/>
        </w:rPr>
        <w:t>Administradores de Comisionistas</w:t>
      </w:r>
      <w:r w:rsidR="00443E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20047B" w14:textId="20AE2592" w:rsidR="00334A65" w:rsidRPr="00334A65" w:rsidRDefault="00334A65" w:rsidP="00334A65">
      <w:pPr>
        <w:spacing w:afterLines="100"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4A65">
        <w:rPr>
          <w:rFonts w:ascii="Times New Roman" w:hAnsi="Times New Roman" w:cs="Times New Roman"/>
          <w:sz w:val="24"/>
          <w:szCs w:val="24"/>
        </w:rPr>
        <w:t>Con relación al régimen de los administradores de comisionistas, el último párrafo del artículo 319 Bis, prohíbe que los administradores de comisionistas subcontraten a comisionistas de base tecnológica. Sin embargo, el Acuerdo no establece la prohibición en el artículo 321 Bis 2, el cual refiere a los administradores de comisionistas y las características, requisitos y prohibiciones para la contratación de comisionistas a nombre y cuenta de las instituciones de crédito.</w:t>
      </w:r>
    </w:p>
    <w:p w14:paraId="49032973" w14:textId="24CFCC2E" w:rsidR="00AC6907" w:rsidRPr="00AC6907" w:rsidRDefault="00334A65" w:rsidP="006528AE">
      <w:pPr>
        <w:spacing w:afterLines="100" w:after="24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 </w:t>
      </w:r>
      <w:r w:rsidR="00AC6907" w:rsidRPr="00AC6907">
        <w:rPr>
          <w:rFonts w:ascii="Times New Roman" w:hAnsi="Times New Roman" w:cs="Times New Roman"/>
          <w:b/>
          <w:bCs/>
          <w:sz w:val="24"/>
          <w:szCs w:val="24"/>
        </w:rPr>
        <w:t>Transitorio</w:t>
      </w:r>
      <w:r w:rsidR="00443E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54E8" w14:textId="70899551" w:rsidR="0027398A" w:rsidRDefault="00512849" w:rsidP="006528AE">
      <w:pPr>
        <w:spacing w:afterLines="100"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06384">
        <w:rPr>
          <w:rFonts w:ascii="Times New Roman" w:hAnsi="Times New Roman" w:cs="Times New Roman"/>
          <w:sz w:val="24"/>
          <w:szCs w:val="24"/>
        </w:rPr>
        <w:t>as</w:t>
      </w:r>
      <w:r w:rsidR="006B7886">
        <w:rPr>
          <w:rFonts w:ascii="Times New Roman" w:hAnsi="Times New Roman" w:cs="Times New Roman"/>
          <w:sz w:val="24"/>
          <w:szCs w:val="24"/>
        </w:rPr>
        <w:t xml:space="preserve"> disposiciones transitorias</w:t>
      </w:r>
      <w:r w:rsidR="00E06384">
        <w:rPr>
          <w:rFonts w:ascii="Times New Roman" w:hAnsi="Times New Roman" w:cs="Times New Roman"/>
          <w:sz w:val="24"/>
          <w:szCs w:val="24"/>
        </w:rPr>
        <w:t xml:space="preserve"> obligarán a</w:t>
      </w:r>
      <w:r w:rsidR="006B7886">
        <w:rPr>
          <w:rFonts w:ascii="Times New Roman" w:hAnsi="Times New Roman" w:cs="Times New Roman"/>
          <w:sz w:val="24"/>
          <w:szCs w:val="24"/>
        </w:rPr>
        <w:t xml:space="preserve"> que las Instituciones</w:t>
      </w:r>
      <w:r w:rsidR="00E06384">
        <w:rPr>
          <w:rFonts w:ascii="Times New Roman" w:hAnsi="Times New Roman" w:cs="Times New Roman"/>
          <w:sz w:val="24"/>
          <w:szCs w:val="24"/>
        </w:rPr>
        <w:t xml:space="preserve"> adecuen los contratos celebrados con sus comisionistas</w:t>
      </w:r>
      <w:r w:rsidR="00F42D32">
        <w:rPr>
          <w:rFonts w:ascii="Times New Roman" w:hAnsi="Times New Roman" w:cs="Times New Roman"/>
          <w:sz w:val="24"/>
          <w:szCs w:val="24"/>
        </w:rPr>
        <w:t xml:space="preserve"> y dar cumplimiento simultáneamente con las obligaciones derivadas de las modificaciones de dichos contratos</w:t>
      </w:r>
      <w:r w:rsidR="00E06384">
        <w:rPr>
          <w:rFonts w:ascii="Times New Roman" w:hAnsi="Times New Roman" w:cs="Times New Roman"/>
          <w:sz w:val="24"/>
          <w:szCs w:val="24"/>
        </w:rPr>
        <w:t xml:space="preserve"> en un plazo de</w:t>
      </w:r>
      <w:r w:rsidR="006B7886" w:rsidRPr="00B51A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B7886" w:rsidRPr="00C459D6">
        <w:rPr>
          <w:rFonts w:ascii="Times New Roman" w:hAnsi="Times New Roman" w:cs="Times New Roman"/>
          <w:b/>
          <w:bCs/>
          <w:sz w:val="24"/>
          <w:szCs w:val="24"/>
          <w:u w:val="single"/>
        </w:rPr>
        <w:t>dieciocho meses</w:t>
      </w:r>
      <w:r w:rsidR="006B7886" w:rsidRPr="00B51AE1">
        <w:rPr>
          <w:rFonts w:ascii="Times New Roman" w:hAnsi="Times New Roman" w:cs="Times New Roman"/>
          <w:sz w:val="24"/>
          <w:szCs w:val="24"/>
          <w:u w:val="single"/>
        </w:rPr>
        <w:t xml:space="preserve"> a partir de la entrada en vigor de</w:t>
      </w:r>
      <w:r w:rsidR="00E06384">
        <w:rPr>
          <w:rFonts w:ascii="Times New Roman" w:hAnsi="Times New Roman" w:cs="Times New Roman"/>
          <w:sz w:val="24"/>
          <w:szCs w:val="24"/>
          <w:u w:val="single"/>
        </w:rPr>
        <w:t xml:space="preserve">l </w:t>
      </w:r>
      <w:r w:rsidR="008C718E">
        <w:rPr>
          <w:rFonts w:ascii="Times New Roman" w:hAnsi="Times New Roman" w:cs="Times New Roman"/>
          <w:sz w:val="24"/>
          <w:szCs w:val="24"/>
          <w:u w:val="single"/>
        </w:rPr>
        <w:t>Acuerdo</w:t>
      </w:r>
      <w:r w:rsidR="00E0638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F00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00E3" w:rsidRPr="00AE0F0E">
        <w:rPr>
          <w:rFonts w:ascii="Times New Roman" w:hAnsi="Times New Roman" w:cs="Times New Roman"/>
          <w:sz w:val="24"/>
          <w:szCs w:val="24"/>
        </w:rPr>
        <w:t>Dich</w:t>
      </w:r>
      <w:r w:rsidR="008C61EB">
        <w:rPr>
          <w:rFonts w:ascii="Times New Roman" w:hAnsi="Times New Roman" w:cs="Times New Roman"/>
          <w:sz w:val="24"/>
          <w:szCs w:val="24"/>
        </w:rPr>
        <w:t>o</w:t>
      </w:r>
      <w:r w:rsidR="00AE0F0E" w:rsidRPr="00AE0F0E">
        <w:rPr>
          <w:rFonts w:ascii="Times New Roman" w:hAnsi="Times New Roman" w:cs="Times New Roman"/>
          <w:sz w:val="24"/>
          <w:szCs w:val="24"/>
        </w:rPr>
        <w:t>s</w:t>
      </w:r>
      <w:r w:rsidR="00EF00E3" w:rsidRPr="00AE0F0E">
        <w:rPr>
          <w:rFonts w:ascii="Times New Roman" w:hAnsi="Times New Roman" w:cs="Times New Roman"/>
          <w:sz w:val="24"/>
          <w:szCs w:val="24"/>
        </w:rPr>
        <w:t xml:space="preserve"> </w:t>
      </w:r>
      <w:r w:rsidR="006528AE" w:rsidRPr="00AE0F0E">
        <w:rPr>
          <w:rFonts w:ascii="Times New Roman" w:hAnsi="Times New Roman" w:cs="Times New Roman"/>
          <w:sz w:val="24"/>
          <w:szCs w:val="24"/>
        </w:rPr>
        <w:t xml:space="preserve">cambios serán aplicables a los contratos con comisionistas </w:t>
      </w:r>
      <w:r w:rsidR="005561A3" w:rsidRPr="00AE0F0E">
        <w:rPr>
          <w:rFonts w:ascii="Times New Roman" w:hAnsi="Times New Roman" w:cs="Times New Roman"/>
          <w:sz w:val="24"/>
          <w:szCs w:val="24"/>
        </w:rPr>
        <w:t>con establecimiento físico</w:t>
      </w:r>
      <w:r w:rsidR="0027398A" w:rsidRPr="00AE0F0E">
        <w:rPr>
          <w:rFonts w:ascii="Times New Roman" w:hAnsi="Times New Roman" w:cs="Times New Roman"/>
          <w:sz w:val="24"/>
          <w:szCs w:val="24"/>
        </w:rPr>
        <w:t>, los cuales, entre otros, son:</w:t>
      </w:r>
    </w:p>
    <w:p w14:paraId="3FC64197" w14:textId="34C2FD2F" w:rsidR="00D26792" w:rsidRDefault="0027398A" w:rsidP="006528AE">
      <w:pPr>
        <w:spacing w:afterLines="100"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6907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D26792">
        <w:rPr>
          <w:rFonts w:ascii="Times New Roman" w:hAnsi="Times New Roman" w:cs="Times New Roman"/>
          <w:sz w:val="24"/>
          <w:szCs w:val="24"/>
        </w:rPr>
        <w:t xml:space="preserve"> incluir flujos que especifiquen los procesos operativos o de administración de bases de datos y sistemas informáticos</w:t>
      </w:r>
      <w:r w:rsidR="00A73345" w:rsidRPr="00D26792">
        <w:rPr>
          <w:rFonts w:ascii="Times New Roman" w:hAnsi="Times New Roman" w:cs="Times New Roman"/>
          <w:sz w:val="24"/>
          <w:szCs w:val="24"/>
        </w:rPr>
        <w:t>, la ubicación</w:t>
      </w:r>
      <w:r w:rsidR="00D26792" w:rsidRPr="00D26792">
        <w:rPr>
          <w:rFonts w:ascii="Montserrat" w:eastAsia="Montserrat" w:hAnsi="Montserrat" w:cs="Arial"/>
          <w:b/>
          <w:bCs/>
          <w:szCs w:val="18"/>
        </w:rPr>
        <w:t xml:space="preserve"> </w:t>
      </w:r>
      <w:r w:rsidR="00D26792" w:rsidRPr="00D26792">
        <w:rPr>
          <w:rFonts w:ascii="Times New Roman" w:hAnsi="Times New Roman" w:cs="Times New Roman"/>
          <w:sz w:val="24"/>
          <w:szCs w:val="24"/>
        </w:rPr>
        <w:t>física de los servidores de la Institución</w:t>
      </w:r>
      <w:r w:rsidR="00AC6907">
        <w:rPr>
          <w:rFonts w:ascii="Times New Roman" w:hAnsi="Times New Roman" w:cs="Times New Roman"/>
          <w:sz w:val="24"/>
          <w:szCs w:val="24"/>
        </w:rPr>
        <w:t>;</w:t>
      </w:r>
    </w:p>
    <w:p w14:paraId="118FC649" w14:textId="0B768C6C" w:rsidR="00664415" w:rsidRDefault="00664415" w:rsidP="006528AE">
      <w:pPr>
        <w:spacing w:afterLines="100"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6907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1E4263">
        <w:rPr>
          <w:rFonts w:ascii="Times New Roman" w:hAnsi="Times New Roman" w:cs="Times New Roman"/>
          <w:sz w:val="24"/>
          <w:szCs w:val="24"/>
        </w:rPr>
        <w:t xml:space="preserve"> </w:t>
      </w:r>
      <w:r w:rsidR="007C5404">
        <w:rPr>
          <w:rFonts w:ascii="Times New Roman" w:hAnsi="Times New Roman" w:cs="Times New Roman"/>
          <w:sz w:val="24"/>
          <w:szCs w:val="24"/>
        </w:rPr>
        <w:t xml:space="preserve">aceptación por parte del comisionista en </w:t>
      </w:r>
      <w:r w:rsidR="000D5875">
        <w:rPr>
          <w:rFonts w:ascii="Times New Roman" w:hAnsi="Times New Roman" w:cs="Times New Roman"/>
          <w:sz w:val="24"/>
          <w:szCs w:val="24"/>
        </w:rPr>
        <w:t>entrega de información y documentación adicional</w:t>
      </w:r>
      <w:r w:rsidR="007C5404">
        <w:rPr>
          <w:rFonts w:ascii="Times New Roman" w:hAnsi="Times New Roman" w:cs="Times New Roman"/>
          <w:sz w:val="24"/>
          <w:szCs w:val="24"/>
        </w:rPr>
        <w:t xml:space="preserve">, a la vigente, </w:t>
      </w:r>
      <w:r w:rsidR="000D5875">
        <w:rPr>
          <w:rFonts w:ascii="Times New Roman" w:hAnsi="Times New Roman" w:cs="Times New Roman"/>
          <w:sz w:val="24"/>
          <w:szCs w:val="24"/>
        </w:rPr>
        <w:t>en las auditorias</w:t>
      </w:r>
      <w:r w:rsidR="00AC6907">
        <w:rPr>
          <w:rFonts w:ascii="Times New Roman" w:hAnsi="Times New Roman" w:cs="Times New Roman"/>
          <w:sz w:val="24"/>
          <w:szCs w:val="24"/>
        </w:rPr>
        <w:t>;</w:t>
      </w:r>
    </w:p>
    <w:p w14:paraId="7C606972" w14:textId="396E0919" w:rsidR="00552138" w:rsidRDefault="00552138" w:rsidP="006528AE">
      <w:pPr>
        <w:spacing w:afterLines="100"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002C">
        <w:rPr>
          <w:rFonts w:ascii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restricci</w:t>
      </w:r>
      <w:r w:rsidR="00D3573F">
        <w:rPr>
          <w:rFonts w:ascii="Times New Roman" w:hAnsi="Times New Roman" w:cs="Times New Roman"/>
          <w:sz w:val="24"/>
          <w:szCs w:val="24"/>
        </w:rPr>
        <w:t xml:space="preserve">ones y </w:t>
      </w:r>
      <w:r w:rsidR="003E1B81">
        <w:rPr>
          <w:rFonts w:ascii="Times New Roman" w:hAnsi="Times New Roman" w:cs="Times New Roman"/>
          <w:sz w:val="24"/>
          <w:szCs w:val="24"/>
        </w:rPr>
        <w:t>condiciones respecto de la posibilidad de subcontratar la prestación del servicio</w:t>
      </w:r>
      <w:r w:rsidR="00D74A17">
        <w:rPr>
          <w:rFonts w:ascii="Times New Roman" w:hAnsi="Times New Roman" w:cs="Times New Roman"/>
          <w:sz w:val="24"/>
          <w:szCs w:val="24"/>
        </w:rPr>
        <w:t xml:space="preserve"> de cómputo bajo demanda y de infraestructura tecnológi</w:t>
      </w:r>
      <w:r w:rsidR="0081633A">
        <w:rPr>
          <w:rFonts w:ascii="Times New Roman" w:hAnsi="Times New Roman" w:cs="Times New Roman"/>
          <w:sz w:val="24"/>
          <w:szCs w:val="24"/>
        </w:rPr>
        <w:t>ca</w:t>
      </w:r>
      <w:r w:rsidR="00182A2E">
        <w:rPr>
          <w:rFonts w:ascii="Times New Roman" w:hAnsi="Times New Roman" w:cs="Times New Roman"/>
          <w:sz w:val="24"/>
          <w:szCs w:val="24"/>
        </w:rPr>
        <w:t xml:space="preserve"> a través de internet</w:t>
      </w:r>
      <w:r w:rsidR="00AC6907">
        <w:rPr>
          <w:rFonts w:ascii="Times New Roman" w:hAnsi="Times New Roman" w:cs="Times New Roman"/>
          <w:sz w:val="24"/>
          <w:szCs w:val="24"/>
        </w:rPr>
        <w:t>;</w:t>
      </w:r>
    </w:p>
    <w:p w14:paraId="3C1047A4" w14:textId="70AC4598" w:rsidR="00182A2E" w:rsidRDefault="00B922AE" w:rsidP="006528AE">
      <w:pPr>
        <w:spacing w:afterLines="100"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002C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="00634E9E">
        <w:rPr>
          <w:rFonts w:ascii="Times New Roman" w:hAnsi="Times New Roman" w:cs="Times New Roman"/>
          <w:sz w:val="24"/>
          <w:szCs w:val="24"/>
        </w:rPr>
        <w:t xml:space="preserve"> mecanismos de solución de controversias entre el comisionista y el tercero subcontratado</w:t>
      </w:r>
      <w:r w:rsidR="00AC6907">
        <w:rPr>
          <w:rFonts w:ascii="Times New Roman" w:hAnsi="Times New Roman" w:cs="Times New Roman"/>
          <w:sz w:val="24"/>
          <w:szCs w:val="24"/>
        </w:rPr>
        <w:t>;</w:t>
      </w:r>
    </w:p>
    <w:p w14:paraId="44419018" w14:textId="3E0579EC" w:rsidR="005F37E6" w:rsidRDefault="005F37E6" w:rsidP="006528AE">
      <w:pPr>
        <w:spacing w:afterLines="100"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002C">
        <w:rPr>
          <w:rFonts w:ascii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CB6">
        <w:rPr>
          <w:rFonts w:ascii="Times New Roman" w:hAnsi="Times New Roman" w:cs="Times New Roman"/>
          <w:sz w:val="24"/>
          <w:szCs w:val="24"/>
        </w:rPr>
        <w:t>información que se deberá publicar por parte de las Instituciones y comisionistas</w:t>
      </w:r>
      <w:r w:rsidR="00DF7AAD">
        <w:rPr>
          <w:rFonts w:ascii="Times New Roman" w:hAnsi="Times New Roman" w:cs="Times New Roman"/>
          <w:sz w:val="24"/>
          <w:szCs w:val="24"/>
        </w:rPr>
        <w:t xml:space="preserve"> al público</w:t>
      </w:r>
      <w:r w:rsidR="00AC6907">
        <w:rPr>
          <w:rFonts w:ascii="Times New Roman" w:hAnsi="Times New Roman" w:cs="Times New Roman"/>
          <w:sz w:val="24"/>
          <w:szCs w:val="24"/>
        </w:rPr>
        <w:t>, y</w:t>
      </w:r>
    </w:p>
    <w:p w14:paraId="23C08235" w14:textId="732334BD" w:rsidR="00563B51" w:rsidRPr="00D26792" w:rsidRDefault="00563B51" w:rsidP="006528AE">
      <w:pPr>
        <w:spacing w:afterLines="100" w:after="240" w:line="240" w:lineRule="auto"/>
        <w:ind w:firstLine="284"/>
        <w:jc w:val="both"/>
        <w:rPr>
          <w:rFonts w:ascii="Montserrat" w:eastAsia="Montserrat" w:hAnsi="Montserrat" w:cs="Arial"/>
          <w:b/>
          <w:bCs/>
          <w:szCs w:val="18"/>
        </w:rPr>
      </w:pPr>
      <w:r w:rsidRPr="00A2002C">
        <w:rPr>
          <w:rFonts w:ascii="Times New Roman" w:hAnsi="Times New Roman" w:cs="Times New Roman"/>
          <w:b/>
          <w:bCs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 xml:space="preserve"> información rela</w:t>
      </w:r>
      <w:r w:rsidR="00AE0F0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iva a los anexos 58 y 59</w:t>
      </w:r>
      <w:r w:rsidR="00AC6907">
        <w:rPr>
          <w:rFonts w:ascii="Times New Roman" w:hAnsi="Times New Roman" w:cs="Times New Roman"/>
          <w:sz w:val="24"/>
          <w:szCs w:val="24"/>
        </w:rPr>
        <w:t>.</w:t>
      </w:r>
    </w:p>
    <w:p w14:paraId="7E9FDB4D" w14:textId="3067E169" w:rsidR="00BB1E71" w:rsidRPr="002F2DD4" w:rsidRDefault="00BB1E71" w:rsidP="00FF73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2DD4">
        <w:rPr>
          <w:rFonts w:ascii="Times New Roman" w:hAnsi="Times New Roman" w:cs="Times New Roman"/>
          <w:sz w:val="24"/>
          <w:szCs w:val="24"/>
          <w:lang w:val="es"/>
        </w:rPr>
        <w:t>*   *   *   *</w:t>
      </w:r>
    </w:p>
    <w:p w14:paraId="308B9876" w14:textId="77777777" w:rsidR="00512849" w:rsidRPr="002F2DD4" w:rsidRDefault="00512849" w:rsidP="005128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DD4">
        <w:rPr>
          <w:rFonts w:ascii="Times New Roman" w:hAnsi="Times New Roman" w:cs="Times New Roman"/>
          <w:sz w:val="24"/>
          <w:szCs w:val="24"/>
          <w:lang w:val="es"/>
        </w:rPr>
        <w:t>Este documento no constituye asesoramiento legal.</w:t>
      </w:r>
      <w:r>
        <w:rPr>
          <w:rFonts w:ascii="Times New Roman" w:hAnsi="Times New Roman" w:cs="Times New Roman"/>
          <w:sz w:val="24"/>
          <w:szCs w:val="24"/>
          <w:lang w:val="es"/>
        </w:rPr>
        <w:t xml:space="preserve"> En caso de requerir información puntual o asesoría, favor de contactarnos.</w:t>
      </w:r>
    </w:p>
    <w:p w14:paraId="55AD0A57" w14:textId="77777777" w:rsidR="00BB1E71" w:rsidRPr="002F2DD4" w:rsidRDefault="00BB1E71" w:rsidP="00BB1E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F2DD4">
        <w:rPr>
          <w:rFonts w:ascii="Times New Roman" w:hAnsi="Times New Roman" w:cs="Times New Roman"/>
          <w:sz w:val="24"/>
          <w:szCs w:val="24"/>
          <w:lang w:val="es"/>
        </w:rPr>
        <w:t>Campa &amp; Mendoza</w:t>
      </w:r>
    </w:p>
    <w:p w14:paraId="457383BA" w14:textId="05A31C85" w:rsidR="00BB1E71" w:rsidRDefault="00000000" w:rsidP="00D524B6">
      <w:pPr>
        <w:spacing w:after="0" w:line="240" w:lineRule="auto"/>
        <w:contextualSpacing/>
        <w:jc w:val="right"/>
        <w:rPr>
          <w:rStyle w:val="Hipervnculo"/>
          <w:rFonts w:ascii="Times New Roman" w:hAnsi="Times New Roman" w:cs="Times New Roman"/>
          <w:sz w:val="24"/>
          <w:szCs w:val="24"/>
          <w:lang w:val="es"/>
        </w:rPr>
      </w:pPr>
      <w:hyperlink r:id="rId10" w:history="1">
        <w:r w:rsidR="00BB1E71" w:rsidRPr="002F2DD4">
          <w:rPr>
            <w:rStyle w:val="Hipervnculo"/>
            <w:rFonts w:ascii="Times New Roman" w:hAnsi="Times New Roman" w:cs="Times New Roman"/>
            <w:sz w:val="24"/>
            <w:szCs w:val="24"/>
            <w:lang w:val="es"/>
          </w:rPr>
          <w:t>contacto@campaymendoza.com</w:t>
        </w:r>
      </w:hyperlink>
    </w:p>
    <w:p w14:paraId="2E3DCE3D" w14:textId="77777777" w:rsidR="00A037F4" w:rsidRPr="002F2DD4" w:rsidRDefault="00A037F4" w:rsidP="00D524B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C8F1B12" w14:textId="77777777" w:rsidR="00512849" w:rsidRPr="002F2DD4" w:rsidRDefault="005128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12849" w:rsidRPr="002F2DD4" w:rsidSect="00830C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829" w:right="1701" w:bottom="2977" w:left="1701" w:header="709" w:footer="6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3CBB9" w14:textId="77777777" w:rsidR="00624EE5" w:rsidRDefault="00624EE5" w:rsidP="00BB1E71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7AEB80F9" w14:textId="77777777" w:rsidR="00624EE5" w:rsidRDefault="00624EE5" w:rsidP="00BB1E71">
      <w:pPr>
        <w:spacing w:after="0" w:line="240" w:lineRule="auto"/>
      </w:pPr>
      <w:r>
        <w:rPr>
          <w:lang w:val="es"/>
        </w:rPr>
        <w:continuationSeparator/>
      </w:r>
    </w:p>
  </w:endnote>
  <w:endnote w:type="continuationNotice" w:id="1">
    <w:p w14:paraId="5219D325" w14:textId="77777777" w:rsidR="00624EE5" w:rsidRDefault="00624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92316" w14:textId="77777777" w:rsidR="004F775B" w:rsidRDefault="004F77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0951506"/>
      <w:docPartObj>
        <w:docPartGallery w:val="Page Numbers (Bottom of Page)"/>
        <w:docPartUnique/>
      </w:docPartObj>
    </w:sdtPr>
    <w:sdtContent>
      <w:p w14:paraId="5031D05D" w14:textId="77777777" w:rsidR="004F775B" w:rsidRDefault="0027411A">
        <w:pPr>
          <w:pStyle w:val="Piedepgina"/>
          <w:jc w:val="center"/>
          <w:rPr>
            <w:rFonts w:ascii="Times New Roman" w:hAnsi="Times New Roman" w:cs="Times New Roman"/>
          </w:rPr>
        </w:pPr>
        <w:r w:rsidRPr="001D777B">
          <w:rPr>
            <w:noProof/>
            <w:lang w:val="es"/>
          </w:rPr>
          <w:drawing>
            <wp:anchor distT="0" distB="0" distL="114300" distR="114300" simplePos="0" relativeHeight="251658242" behindDoc="1" locked="0" layoutInCell="1" allowOverlap="1" wp14:anchorId="04FEE25F" wp14:editId="413F1B99">
              <wp:simplePos x="0" y="0"/>
              <wp:positionH relativeFrom="margin">
                <wp:align>left</wp:align>
              </wp:positionH>
              <wp:positionV relativeFrom="paragraph">
                <wp:posOffset>77010</wp:posOffset>
              </wp:positionV>
              <wp:extent cx="5667154" cy="1295934"/>
              <wp:effectExtent l="0" t="0" r="0" b="0"/>
              <wp:wrapNone/>
              <wp:docPr id="49" name="Imagen 49" descr="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n 3" descr="Interfaz de usuario gráfica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7154" cy="12959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52327">
          <w:rPr>
            <w:lang w:val="es"/>
          </w:rPr>
          <w:fldChar w:fldCharType="begin"/>
        </w:r>
        <w:r w:rsidRPr="00952327">
          <w:rPr>
            <w:lang w:val="es"/>
          </w:rPr>
          <w:instrText>PAGE   \* MERGEFORMAT</w:instrText>
        </w:r>
        <w:r w:rsidRPr="00952327">
          <w:rPr>
            <w:lang w:val="es"/>
          </w:rPr>
          <w:fldChar w:fldCharType="separate"/>
        </w:r>
        <w:r w:rsidRPr="00952327">
          <w:rPr>
            <w:lang w:val="es"/>
          </w:rPr>
          <w:t>2</w:t>
        </w:r>
        <w:r w:rsidRPr="00952327">
          <w:rPr>
            <w:lang w:val="es"/>
          </w:rPr>
          <w:fldChar w:fldCharType="end"/>
        </w:r>
      </w:p>
      <w:p w14:paraId="2213725A" w14:textId="77777777" w:rsidR="004F775B" w:rsidRDefault="004F775B">
        <w:pPr>
          <w:pStyle w:val="Piedepgina"/>
          <w:jc w:val="center"/>
          <w:rPr>
            <w:rFonts w:ascii="Times New Roman" w:hAnsi="Times New Roman" w:cs="Times New Roman"/>
          </w:rPr>
        </w:pPr>
      </w:p>
      <w:p w14:paraId="5F16B61E" w14:textId="77777777" w:rsidR="004F775B" w:rsidRPr="00952327" w:rsidRDefault="004F775B">
        <w:pPr>
          <w:pStyle w:val="Piedepgina"/>
          <w:jc w:val="center"/>
          <w:rPr>
            <w:rFonts w:ascii="Times New Roman" w:hAnsi="Times New Roman" w:cs="Times New Roman"/>
          </w:rPr>
        </w:pPr>
      </w:p>
      <w:p w14:paraId="05558B6C" w14:textId="77777777" w:rsidR="004F775B" w:rsidRDefault="004F775B">
        <w:pPr>
          <w:pStyle w:val="Piedepgina"/>
          <w:jc w:val="center"/>
        </w:pPr>
      </w:p>
      <w:p w14:paraId="3DD25EA3" w14:textId="77777777" w:rsidR="004F775B" w:rsidRDefault="004F775B">
        <w:pPr>
          <w:pStyle w:val="Piedepgina"/>
          <w:jc w:val="center"/>
        </w:pPr>
      </w:p>
      <w:p w14:paraId="4A857A17" w14:textId="77777777" w:rsidR="004F775B" w:rsidRDefault="00000000">
        <w:pPr>
          <w:pStyle w:val="Piedepgina"/>
          <w:jc w:val="center"/>
        </w:pPr>
      </w:p>
    </w:sdtContent>
  </w:sdt>
  <w:p w14:paraId="7DA9AD40" w14:textId="77777777" w:rsidR="004F775B" w:rsidRDefault="004F77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F673" w14:textId="77777777" w:rsidR="004F775B" w:rsidRDefault="0027411A">
    <w:pPr>
      <w:pStyle w:val="Piedepgina"/>
    </w:pPr>
    <w:r w:rsidRPr="001D777B">
      <w:rPr>
        <w:noProof/>
        <w:lang w:val="es"/>
      </w:rPr>
      <w:drawing>
        <wp:anchor distT="0" distB="0" distL="114300" distR="114300" simplePos="0" relativeHeight="251658241" behindDoc="1" locked="0" layoutInCell="1" allowOverlap="1" wp14:anchorId="7ACAB530" wp14:editId="4D95F4F6">
          <wp:simplePos x="0" y="0"/>
          <wp:positionH relativeFrom="margin">
            <wp:align>right</wp:align>
          </wp:positionH>
          <wp:positionV relativeFrom="paragraph">
            <wp:posOffset>-1279601</wp:posOffset>
          </wp:positionV>
          <wp:extent cx="5667154" cy="1295934"/>
          <wp:effectExtent l="0" t="0" r="0" b="0"/>
          <wp:wrapNone/>
          <wp:docPr id="48" name="Imagen 48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154" cy="1295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00338" w14:textId="77777777" w:rsidR="00624EE5" w:rsidRDefault="00624EE5" w:rsidP="00BB1E71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74870C8B" w14:textId="77777777" w:rsidR="00624EE5" w:rsidRDefault="00624EE5" w:rsidP="00BB1E71">
      <w:pPr>
        <w:spacing w:after="0" w:line="240" w:lineRule="auto"/>
      </w:pPr>
      <w:r>
        <w:rPr>
          <w:lang w:val="es"/>
        </w:rPr>
        <w:continuationSeparator/>
      </w:r>
    </w:p>
  </w:footnote>
  <w:footnote w:type="continuationNotice" w:id="1">
    <w:p w14:paraId="201648A3" w14:textId="77777777" w:rsidR="00624EE5" w:rsidRDefault="00624E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CB495" w14:textId="77777777" w:rsidR="004F775B" w:rsidRDefault="004F77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F71B5" w14:textId="77777777" w:rsidR="004F775B" w:rsidRDefault="0027411A">
    <w:pPr>
      <w:pStyle w:val="Encabezado"/>
    </w:pP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71E21BE" wp14:editId="5A017553">
          <wp:simplePos x="0" y="0"/>
          <wp:positionH relativeFrom="column">
            <wp:posOffset>-1067256</wp:posOffset>
          </wp:positionH>
          <wp:positionV relativeFrom="paragraph">
            <wp:posOffset>-436701</wp:posOffset>
          </wp:positionV>
          <wp:extent cx="7727324" cy="1464502"/>
          <wp:effectExtent l="0" t="0" r="0" b="0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324" cy="1464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3D03B" w14:textId="77777777" w:rsidR="004F775B" w:rsidRDefault="0027411A">
    <w:pPr>
      <w:pStyle w:val="Encabezado"/>
    </w:pPr>
    <w:r w:rsidRPr="00C32CC9">
      <w:rPr>
        <w:noProof/>
        <w:lang w:val="es"/>
      </w:rPr>
      <w:drawing>
        <wp:inline distT="0" distB="0" distL="0" distR="0" wp14:anchorId="2D128231" wp14:editId="3A1961D3">
          <wp:extent cx="3309878" cy="1289050"/>
          <wp:effectExtent l="0" t="0" r="0" b="0"/>
          <wp:docPr id="47" name="Imagen 4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2222" cy="1352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D0D12"/>
    <w:multiLevelType w:val="hybridMultilevel"/>
    <w:tmpl w:val="1AB88E42"/>
    <w:lvl w:ilvl="0" w:tplc="080A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8EB3C20"/>
    <w:multiLevelType w:val="hybridMultilevel"/>
    <w:tmpl w:val="1AAA4AE0"/>
    <w:lvl w:ilvl="0" w:tplc="F682A1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D6728"/>
    <w:multiLevelType w:val="hybridMultilevel"/>
    <w:tmpl w:val="50C61222"/>
    <w:lvl w:ilvl="0" w:tplc="83D05A32">
      <w:start w:val="1"/>
      <w:numFmt w:val="decimal"/>
      <w:lvlText w:val="%1."/>
      <w:lvlJc w:val="left"/>
      <w:pPr>
        <w:ind w:left="720" w:hanging="360"/>
      </w:pPr>
      <w:rPr>
        <w:rFonts w:ascii="Merriweather" w:hAnsi="Merriweather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31F22"/>
    <w:multiLevelType w:val="hybridMultilevel"/>
    <w:tmpl w:val="6FAA62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C0D58"/>
    <w:multiLevelType w:val="hybridMultilevel"/>
    <w:tmpl w:val="F0603480"/>
    <w:lvl w:ilvl="0" w:tplc="A7502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82376"/>
    <w:multiLevelType w:val="hybridMultilevel"/>
    <w:tmpl w:val="9882485C"/>
    <w:lvl w:ilvl="0" w:tplc="E88035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F47F1"/>
    <w:multiLevelType w:val="hybridMultilevel"/>
    <w:tmpl w:val="4A9EF4BA"/>
    <w:lvl w:ilvl="0" w:tplc="49108076">
      <w:start w:val="1"/>
      <w:numFmt w:val="lowerLetter"/>
      <w:lvlText w:val="%1)"/>
      <w:lvlJc w:val="left"/>
      <w:pPr>
        <w:ind w:left="717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5727395"/>
    <w:multiLevelType w:val="hybridMultilevel"/>
    <w:tmpl w:val="0B88BEC8"/>
    <w:lvl w:ilvl="0" w:tplc="0A3611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A540E"/>
    <w:multiLevelType w:val="hybridMultilevel"/>
    <w:tmpl w:val="E63C3F9A"/>
    <w:lvl w:ilvl="0" w:tplc="83D05A32">
      <w:start w:val="1"/>
      <w:numFmt w:val="decimal"/>
      <w:lvlText w:val="%1."/>
      <w:lvlJc w:val="left"/>
      <w:pPr>
        <w:ind w:left="720" w:hanging="360"/>
      </w:pPr>
      <w:rPr>
        <w:rFonts w:ascii="Merriweather" w:hAnsi="Merriweather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488011">
    <w:abstractNumId w:val="2"/>
  </w:num>
  <w:num w:numId="2" w16cid:durableId="704797556">
    <w:abstractNumId w:val="8"/>
  </w:num>
  <w:num w:numId="3" w16cid:durableId="232012998">
    <w:abstractNumId w:val="1"/>
  </w:num>
  <w:num w:numId="4" w16cid:durableId="1466117903">
    <w:abstractNumId w:val="3"/>
  </w:num>
  <w:num w:numId="5" w16cid:durableId="1291286049">
    <w:abstractNumId w:val="4"/>
  </w:num>
  <w:num w:numId="6" w16cid:durableId="2021083270">
    <w:abstractNumId w:val="7"/>
  </w:num>
  <w:num w:numId="7" w16cid:durableId="1348826930">
    <w:abstractNumId w:val="5"/>
  </w:num>
  <w:num w:numId="8" w16cid:durableId="1252663995">
    <w:abstractNumId w:val="0"/>
  </w:num>
  <w:num w:numId="9" w16cid:durableId="1133792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71"/>
    <w:rsid w:val="00000D3F"/>
    <w:rsid w:val="000017DE"/>
    <w:rsid w:val="00002C84"/>
    <w:rsid w:val="00011C96"/>
    <w:rsid w:val="0001717A"/>
    <w:rsid w:val="000207AA"/>
    <w:rsid w:val="00025D69"/>
    <w:rsid w:val="000304D1"/>
    <w:rsid w:val="0003216F"/>
    <w:rsid w:val="000334C5"/>
    <w:rsid w:val="00041D48"/>
    <w:rsid w:val="000420BC"/>
    <w:rsid w:val="00052018"/>
    <w:rsid w:val="0005369C"/>
    <w:rsid w:val="00061779"/>
    <w:rsid w:val="00061B36"/>
    <w:rsid w:val="00063779"/>
    <w:rsid w:val="00067D72"/>
    <w:rsid w:val="0007071D"/>
    <w:rsid w:val="0007647D"/>
    <w:rsid w:val="00080021"/>
    <w:rsid w:val="000A103D"/>
    <w:rsid w:val="000A15BF"/>
    <w:rsid w:val="000A2B44"/>
    <w:rsid w:val="000C43C5"/>
    <w:rsid w:val="000C548F"/>
    <w:rsid w:val="000C60B8"/>
    <w:rsid w:val="000C611B"/>
    <w:rsid w:val="000C7332"/>
    <w:rsid w:val="000D4911"/>
    <w:rsid w:val="000D5875"/>
    <w:rsid w:val="000E13E6"/>
    <w:rsid w:val="000E6C70"/>
    <w:rsid w:val="000F562D"/>
    <w:rsid w:val="000F64CD"/>
    <w:rsid w:val="001041D0"/>
    <w:rsid w:val="00105703"/>
    <w:rsid w:val="0011018A"/>
    <w:rsid w:val="00147281"/>
    <w:rsid w:val="00160162"/>
    <w:rsid w:val="00174AF6"/>
    <w:rsid w:val="00182A2E"/>
    <w:rsid w:val="00185821"/>
    <w:rsid w:val="00190994"/>
    <w:rsid w:val="001A03E9"/>
    <w:rsid w:val="001A07DB"/>
    <w:rsid w:val="001A74D5"/>
    <w:rsid w:val="001B1ACF"/>
    <w:rsid w:val="001B72FB"/>
    <w:rsid w:val="001B78B3"/>
    <w:rsid w:val="001C0CC3"/>
    <w:rsid w:val="001C2C6A"/>
    <w:rsid w:val="001D3399"/>
    <w:rsid w:val="001E0FFD"/>
    <w:rsid w:val="001E1DB9"/>
    <w:rsid w:val="001E4263"/>
    <w:rsid w:val="001E473B"/>
    <w:rsid w:val="001F1B9E"/>
    <w:rsid w:val="001F72C0"/>
    <w:rsid w:val="00205F8A"/>
    <w:rsid w:val="00206C23"/>
    <w:rsid w:val="00214C0B"/>
    <w:rsid w:val="00223CC4"/>
    <w:rsid w:val="00231EA2"/>
    <w:rsid w:val="00233144"/>
    <w:rsid w:val="00252F19"/>
    <w:rsid w:val="00261A4B"/>
    <w:rsid w:val="00265E06"/>
    <w:rsid w:val="0027398A"/>
    <w:rsid w:val="0027411A"/>
    <w:rsid w:val="002819C3"/>
    <w:rsid w:val="00284CFA"/>
    <w:rsid w:val="00286F8D"/>
    <w:rsid w:val="00291331"/>
    <w:rsid w:val="002979BF"/>
    <w:rsid w:val="002B02B3"/>
    <w:rsid w:val="002B09CF"/>
    <w:rsid w:val="002B44F8"/>
    <w:rsid w:val="002C55E9"/>
    <w:rsid w:val="002C581F"/>
    <w:rsid w:val="002D6D2E"/>
    <w:rsid w:val="002D73B8"/>
    <w:rsid w:val="002E54F6"/>
    <w:rsid w:val="002E6F4C"/>
    <w:rsid w:val="002F134E"/>
    <w:rsid w:val="002F2057"/>
    <w:rsid w:val="002F2DD4"/>
    <w:rsid w:val="00303982"/>
    <w:rsid w:val="0032409B"/>
    <w:rsid w:val="0032649E"/>
    <w:rsid w:val="00327570"/>
    <w:rsid w:val="00334A65"/>
    <w:rsid w:val="00337A74"/>
    <w:rsid w:val="00346273"/>
    <w:rsid w:val="0035355C"/>
    <w:rsid w:val="00366E64"/>
    <w:rsid w:val="00367374"/>
    <w:rsid w:val="00371F9C"/>
    <w:rsid w:val="00372B57"/>
    <w:rsid w:val="003757CC"/>
    <w:rsid w:val="003816B2"/>
    <w:rsid w:val="0039152B"/>
    <w:rsid w:val="00393B81"/>
    <w:rsid w:val="00396E2F"/>
    <w:rsid w:val="00397B8B"/>
    <w:rsid w:val="003A3272"/>
    <w:rsid w:val="003A579D"/>
    <w:rsid w:val="003A5DC8"/>
    <w:rsid w:val="003B209C"/>
    <w:rsid w:val="003C1D62"/>
    <w:rsid w:val="003D2468"/>
    <w:rsid w:val="003D2A92"/>
    <w:rsid w:val="003D7A1B"/>
    <w:rsid w:val="003E1B81"/>
    <w:rsid w:val="003E51E3"/>
    <w:rsid w:val="003F5FB1"/>
    <w:rsid w:val="003F77BA"/>
    <w:rsid w:val="004014E2"/>
    <w:rsid w:val="00403FC8"/>
    <w:rsid w:val="00414587"/>
    <w:rsid w:val="00422AD5"/>
    <w:rsid w:val="00426485"/>
    <w:rsid w:val="00434EC8"/>
    <w:rsid w:val="004351AA"/>
    <w:rsid w:val="004416DD"/>
    <w:rsid w:val="00442D24"/>
    <w:rsid w:val="00443E62"/>
    <w:rsid w:val="004442D2"/>
    <w:rsid w:val="00446066"/>
    <w:rsid w:val="00460023"/>
    <w:rsid w:val="0048017B"/>
    <w:rsid w:val="00480521"/>
    <w:rsid w:val="00480AAC"/>
    <w:rsid w:val="004834FA"/>
    <w:rsid w:val="004A08E3"/>
    <w:rsid w:val="004A1A0A"/>
    <w:rsid w:val="004A378B"/>
    <w:rsid w:val="004B0B3E"/>
    <w:rsid w:val="004B0CEA"/>
    <w:rsid w:val="004B17EB"/>
    <w:rsid w:val="004B245A"/>
    <w:rsid w:val="004C7E2F"/>
    <w:rsid w:val="004E37DE"/>
    <w:rsid w:val="004E6624"/>
    <w:rsid w:val="004F3B1D"/>
    <w:rsid w:val="004F775B"/>
    <w:rsid w:val="00504D77"/>
    <w:rsid w:val="00504EB2"/>
    <w:rsid w:val="00512849"/>
    <w:rsid w:val="00521CD1"/>
    <w:rsid w:val="00522CBB"/>
    <w:rsid w:val="005240B4"/>
    <w:rsid w:val="005274A1"/>
    <w:rsid w:val="00532D74"/>
    <w:rsid w:val="00534572"/>
    <w:rsid w:val="00537E35"/>
    <w:rsid w:val="00552138"/>
    <w:rsid w:val="00552BAB"/>
    <w:rsid w:val="005561A3"/>
    <w:rsid w:val="00563B51"/>
    <w:rsid w:val="00565955"/>
    <w:rsid w:val="0058378C"/>
    <w:rsid w:val="00592AA9"/>
    <w:rsid w:val="005A235D"/>
    <w:rsid w:val="005A4854"/>
    <w:rsid w:val="005B17A4"/>
    <w:rsid w:val="005B47B1"/>
    <w:rsid w:val="005B7F81"/>
    <w:rsid w:val="005C1C72"/>
    <w:rsid w:val="005C2525"/>
    <w:rsid w:val="005D3622"/>
    <w:rsid w:val="005E1358"/>
    <w:rsid w:val="005F37E6"/>
    <w:rsid w:val="005F71E1"/>
    <w:rsid w:val="00602468"/>
    <w:rsid w:val="00602D79"/>
    <w:rsid w:val="00603A12"/>
    <w:rsid w:val="006121DF"/>
    <w:rsid w:val="0062269D"/>
    <w:rsid w:val="00622F70"/>
    <w:rsid w:val="00624EE5"/>
    <w:rsid w:val="00627C6B"/>
    <w:rsid w:val="00631D26"/>
    <w:rsid w:val="00634A48"/>
    <w:rsid w:val="00634E9E"/>
    <w:rsid w:val="006352BD"/>
    <w:rsid w:val="00640DF6"/>
    <w:rsid w:val="00645993"/>
    <w:rsid w:val="006528AE"/>
    <w:rsid w:val="00656C36"/>
    <w:rsid w:val="00664415"/>
    <w:rsid w:val="00680477"/>
    <w:rsid w:val="006812D9"/>
    <w:rsid w:val="00684309"/>
    <w:rsid w:val="00691A3A"/>
    <w:rsid w:val="006A3495"/>
    <w:rsid w:val="006B07DC"/>
    <w:rsid w:val="006B544B"/>
    <w:rsid w:val="006B7886"/>
    <w:rsid w:val="006C3513"/>
    <w:rsid w:val="006C3996"/>
    <w:rsid w:val="006C3D60"/>
    <w:rsid w:val="006D6CC6"/>
    <w:rsid w:val="006E5EEE"/>
    <w:rsid w:val="006F1F2A"/>
    <w:rsid w:val="00711B93"/>
    <w:rsid w:val="00712C85"/>
    <w:rsid w:val="00716083"/>
    <w:rsid w:val="00716EB4"/>
    <w:rsid w:val="00722292"/>
    <w:rsid w:val="007272DB"/>
    <w:rsid w:val="00733CE0"/>
    <w:rsid w:val="00734591"/>
    <w:rsid w:val="00737AA2"/>
    <w:rsid w:val="00740FF3"/>
    <w:rsid w:val="00756AA5"/>
    <w:rsid w:val="00761BBE"/>
    <w:rsid w:val="00762877"/>
    <w:rsid w:val="00765D16"/>
    <w:rsid w:val="00771B0A"/>
    <w:rsid w:val="0077498C"/>
    <w:rsid w:val="007954F1"/>
    <w:rsid w:val="00796426"/>
    <w:rsid w:val="007A37D7"/>
    <w:rsid w:val="007A4AB7"/>
    <w:rsid w:val="007A7D99"/>
    <w:rsid w:val="007B35E6"/>
    <w:rsid w:val="007B519C"/>
    <w:rsid w:val="007C5404"/>
    <w:rsid w:val="007D26A5"/>
    <w:rsid w:val="007D2E3C"/>
    <w:rsid w:val="008062AC"/>
    <w:rsid w:val="00812BE0"/>
    <w:rsid w:val="0081633A"/>
    <w:rsid w:val="00816747"/>
    <w:rsid w:val="00824512"/>
    <w:rsid w:val="0082522D"/>
    <w:rsid w:val="00825745"/>
    <w:rsid w:val="00830C00"/>
    <w:rsid w:val="00832EE5"/>
    <w:rsid w:val="00836377"/>
    <w:rsid w:val="00837DC9"/>
    <w:rsid w:val="00846B07"/>
    <w:rsid w:val="00850533"/>
    <w:rsid w:val="00852098"/>
    <w:rsid w:val="00852E47"/>
    <w:rsid w:val="00854B79"/>
    <w:rsid w:val="0087010A"/>
    <w:rsid w:val="00871D6D"/>
    <w:rsid w:val="00883F2C"/>
    <w:rsid w:val="0088525B"/>
    <w:rsid w:val="00893A9C"/>
    <w:rsid w:val="00896706"/>
    <w:rsid w:val="008A15AA"/>
    <w:rsid w:val="008A359C"/>
    <w:rsid w:val="008A3FEC"/>
    <w:rsid w:val="008A4FCC"/>
    <w:rsid w:val="008A6260"/>
    <w:rsid w:val="008B6E74"/>
    <w:rsid w:val="008C61EB"/>
    <w:rsid w:val="008C718E"/>
    <w:rsid w:val="008D0730"/>
    <w:rsid w:val="008D2371"/>
    <w:rsid w:val="008D2989"/>
    <w:rsid w:val="008E42DC"/>
    <w:rsid w:val="008E4732"/>
    <w:rsid w:val="008E573E"/>
    <w:rsid w:val="008E5C3A"/>
    <w:rsid w:val="008F0657"/>
    <w:rsid w:val="008F5EC0"/>
    <w:rsid w:val="00911482"/>
    <w:rsid w:val="00912F71"/>
    <w:rsid w:val="009149EA"/>
    <w:rsid w:val="00915007"/>
    <w:rsid w:val="00915F18"/>
    <w:rsid w:val="009200E2"/>
    <w:rsid w:val="009211A1"/>
    <w:rsid w:val="00930534"/>
    <w:rsid w:val="00933BE5"/>
    <w:rsid w:val="00937036"/>
    <w:rsid w:val="00940BD0"/>
    <w:rsid w:val="00946BA6"/>
    <w:rsid w:val="00954797"/>
    <w:rsid w:val="0096368E"/>
    <w:rsid w:val="00973DBB"/>
    <w:rsid w:val="00976303"/>
    <w:rsid w:val="00995182"/>
    <w:rsid w:val="009A4730"/>
    <w:rsid w:val="009A5726"/>
    <w:rsid w:val="009C0CB6"/>
    <w:rsid w:val="009C57E2"/>
    <w:rsid w:val="009C71FB"/>
    <w:rsid w:val="009D069A"/>
    <w:rsid w:val="009D2FF5"/>
    <w:rsid w:val="009E0EF3"/>
    <w:rsid w:val="009E47C1"/>
    <w:rsid w:val="009F1CE5"/>
    <w:rsid w:val="009F466A"/>
    <w:rsid w:val="009F64BC"/>
    <w:rsid w:val="00A000F3"/>
    <w:rsid w:val="00A02281"/>
    <w:rsid w:val="00A037F4"/>
    <w:rsid w:val="00A068CE"/>
    <w:rsid w:val="00A06CB9"/>
    <w:rsid w:val="00A1374B"/>
    <w:rsid w:val="00A13B72"/>
    <w:rsid w:val="00A2002C"/>
    <w:rsid w:val="00A22662"/>
    <w:rsid w:val="00A240C0"/>
    <w:rsid w:val="00A25554"/>
    <w:rsid w:val="00A269A7"/>
    <w:rsid w:val="00A3139D"/>
    <w:rsid w:val="00A33AA1"/>
    <w:rsid w:val="00A36E5E"/>
    <w:rsid w:val="00A4072E"/>
    <w:rsid w:val="00A440FC"/>
    <w:rsid w:val="00A47D80"/>
    <w:rsid w:val="00A51181"/>
    <w:rsid w:val="00A56BB7"/>
    <w:rsid w:val="00A60522"/>
    <w:rsid w:val="00A62EB5"/>
    <w:rsid w:val="00A71B0D"/>
    <w:rsid w:val="00A72101"/>
    <w:rsid w:val="00A73345"/>
    <w:rsid w:val="00A818A9"/>
    <w:rsid w:val="00A97FA2"/>
    <w:rsid w:val="00AA486D"/>
    <w:rsid w:val="00AB3D74"/>
    <w:rsid w:val="00AC01DC"/>
    <w:rsid w:val="00AC0EDB"/>
    <w:rsid w:val="00AC1911"/>
    <w:rsid w:val="00AC6907"/>
    <w:rsid w:val="00AD1616"/>
    <w:rsid w:val="00AD54BB"/>
    <w:rsid w:val="00AE0F0E"/>
    <w:rsid w:val="00AF03A2"/>
    <w:rsid w:val="00AF5E1D"/>
    <w:rsid w:val="00AF7482"/>
    <w:rsid w:val="00B03D10"/>
    <w:rsid w:val="00B27D23"/>
    <w:rsid w:val="00B466C1"/>
    <w:rsid w:val="00B467B3"/>
    <w:rsid w:val="00B47E40"/>
    <w:rsid w:val="00B51AE1"/>
    <w:rsid w:val="00B57782"/>
    <w:rsid w:val="00B67A10"/>
    <w:rsid w:val="00B70069"/>
    <w:rsid w:val="00B8790C"/>
    <w:rsid w:val="00B922AE"/>
    <w:rsid w:val="00B95947"/>
    <w:rsid w:val="00BA503C"/>
    <w:rsid w:val="00BA68C7"/>
    <w:rsid w:val="00BA78EE"/>
    <w:rsid w:val="00BA7BF0"/>
    <w:rsid w:val="00BB1E71"/>
    <w:rsid w:val="00BD3109"/>
    <w:rsid w:val="00BD582F"/>
    <w:rsid w:val="00BD71B1"/>
    <w:rsid w:val="00BE423E"/>
    <w:rsid w:val="00BF6A86"/>
    <w:rsid w:val="00C00EB1"/>
    <w:rsid w:val="00C01E33"/>
    <w:rsid w:val="00C05D71"/>
    <w:rsid w:val="00C1087D"/>
    <w:rsid w:val="00C17275"/>
    <w:rsid w:val="00C25348"/>
    <w:rsid w:val="00C26F11"/>
    <w:rsid w:val="00C33FEC"/>
    <w:rsid w:val="00C36F87"/>
    <w:rsid w:val="00C373D0"/>
    <w:rsid w:val="00C3772E"/>
    <w:rsid w:val="00C41CA7"/>
    <w:rsid w:val="00C431BA"/>
    <w:rsid w:val="00C43EDE"/>
    <w:rsid w:val="00C459D6"/>
    <w:rsid w:val="00C469C1"/>
    <w:rsid w:val="00C514AB"/>
    <w:rsid w:val="00C54FB3"/>
    <w:rsid w:val="00C80373"/>
    <w:rsid w:val="00C8538F"/>
    <w:rsid w:val="00C9039A"/>
    <w:rsid w:val="00C97063"/>
    <w:rsid w:val="00CA2668"/>
    <w:rsid w:val="00CA2A17"/>
    <w:rsid w:val="00CA7BCE"/>
    <w:rsid w:val="00CC0006"/>
    <w:rsid w:val="00CC1FCC"/>
    <w:rsid w:val="00CC5839"/>
    <w:rsid w:val="00CD213C"/>
    <w:rsid w:val="00CF6428"/>
    <w:rsid w:val="00CF755C"/>
    <w:rsid w:val="00D0260F"/>
    <w:rsid w:val="00D03E1E"/>
    <w:rsid w:val="00D047C1"/>
    <w:rsid w:val="00D1221D"/>
    <w:rsid w:val="00D14C1C"/>
    <w:rsid w:val="00D16E22"/>
    <w:rsid w:val="00D20F51"/>
    <w:rsid w:val="00D24E3A"/>
    <w:rsid w:val="00D26792"/>
    <w:rsid w:val="00D3573F"/>
    <w:rsid w:val="00D36699"/>
    <w:rsid w:val="00D37E8B"/>
    <w:rsid w:val="00D47240"/>
    <w:rsid w:val="00D4772D"/>
    <w:rsid w:val="00D52057"/>
    <w:rsid w:val="00D524B6"/>
    <w:rsid w:val="00D52E5A"/>
    <w:rsid w:val="00D552B4"/>
    <w:rsid w:val="00D55B87"/>
    <w:rsid w:val="00D61F12"/>
    <w:rsid w:val="00D64009"/>
    <w:rsid w:val="00D7154A"/>
    <w:rsid w:val="00D71966"/>
    <w:rsid w:val="00D71981"/>
    <w:rsid w:val="00D73381"/>
    <w:rsid w:val="00D74A17"/>
    <w:rsid w:val="00D878F1"/>
    <w:rsid w:val="00D91970"/>
    <w:rsid w:val="00D95905"/>
    <w:rsid w:val="00DA1514"/>
    <w:rsid w:val="00DB02CD"/>
    <w:rsid w:val="00DB03EF"/>
    <w:rsid w:val="00DB6530"/>
    <w:rsid w:val="00DC78FA"/>
    <w:rsid w:val="00DD1DD1"/>
    <w:rsid w:val="00DD2867"/>
    <w:rsid w:val="00DD429E"/>
    <w:rsid w:val="00DD598B"/>
    <w:rsid w:val="00DE0827"/>
    <w:rsid w:val="00DE4849"/>
    <w:rsid w:val="00DF3A13"/>
    <w:rsid w:val="00DF5EE2"/>
    <w:rsid w:val="00DF7AAD"/>
    <w:rsid w:val="00E0072D"/>
    <w:rsid w:val="00E06384"/>
    <w:rsid w:val="00E1195C"/>
    <w:rsid w:val="00E23A0F"/>
    <w:rsid w:val="00E37711"/>
    <w:rsid w:val="00E46AD5"/>
    <w:rsid w:val="00E550F9"/>
    <w:rsid w:val="00E70695"/>
    <w:rsid w:val="00E735F9"/>
    <w:rsid w:val="00E76D2C"/>
    <w:rsid w:val="00E81681"/>
    <w:rsid w:val="00E8231A"/>
    <w:rsid w:val="00E829AA"/>
    <w:rsid w:val="00E85AC9"/>
    <w:rsid w:val="00E94267"/>
    <w:rsid w:val="00E94E4C"/>
    <w:rsid w:val="00EB012D"/>
    <w:rsid w:val="00EB1E5A"/>
    <w:rsid w:val="00ED79E9"/>
    <w:rsid w:val="00EE711A"/>
    <w:rsid w:val="00EF00E3"/>
    <w:rsid w:val="00EF011B"/>
    <w:rsid w:val="00EF07E1"/>
    <w:rsid w:val="00EF2F3D"/>
    <w:rsid w:val="00F04638"/>
    <w:rsid w:val="00F0667C"/>
    <w:rsid w:val="00F076FE"/>
    <w:rsid w:val="00F10699"/>
    <w:rsid w:val="00F274DA"/>
    <w:rsid w:val="00F4014A"/>
    <w:rsid w:val="00F42D32"/>
    <w:rsid w:val="00F46A77"/>
    <w:rsid w:val="00F46F7D"/>
    <w:rsid w:val="00F52D14"/>
    <w:rsid w:val="00F55BA8"/>
    <w:rsid w:val="00F56247"/>
    <w:rsid w:val="00F60166"/>
    <w:rsid w:val="00F615B5"/>
    <w:rsid w:val="00F7496E"/>
    <w:rsid w:val="00F74FEF"/>
    <w:rsid w:val="00F93CF0"/>
    <w:rsid w:val="00FA092D"/>
    <w:rsid w:val="00FB1901"/>
    <w:rsid w:val="00FB4427"/>
    <w:rsid w:val="00FD01C5"/>
    <w:rsid w:val="00FD0589"/>
    <w:rsid w:val="00FD0FD1"/>
    <w:rsid w:val="00FD15C4"/>
    <w:rsid w:val="00FD1ED4"/>
    <w:rsid w:val="00FD399B"/>
    <w:rsid w:val="00FD4E61"/>
    <w:rsid w:val="00FD5105"/>
    <w:rsid w:val="00FD611D"/>
    <w:rsid w:val="00FE1140"/>
    <w:rsid w:val="00FE13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48585"/>
  <w15:chartTrackingRefBased/>
  <w15:docId w15:val="{2465C779-90DD-4F93-965A-309295C0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E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1E71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B1E7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B1E71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1E7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B1E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1E7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1E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1E7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1E7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061779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7D2E3C"/>
    <w:rPr>
      <w:color w:val="808080"/>
    </w:rPr>
  </w:style>
  <w:style w:type="paragraph" w:styleId="Revisin">
    <w:name w:val="Revision"/>
    <w:hidden/>
    <w:uiPriority w:val="99"/>
    <w:semiHidden/>
    <w:rsid w:val="008F065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71D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1D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1D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D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D6D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12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aymendoza.com/recursos/client-alert-anteproyecto-que-modifica-la-circular-unica-de-bancos-en-materia-de-comisionistas-tecnologico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ntacto@campaymendoz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f.gob.mx/nota_detalle.php?codigo=5732991&amp;fecha=11/07/2024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6085-68C6-4890-9DB6-89D94DCA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1107</Words>
  <Characters>6192</Characters>
  <Application>Microsoft Office Word</Application>
  <DocSecurity>0</DocSecurity>
  <Lines>110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Campa Garcia</dc:creator>
  <cp:keywords/>
  <dc:description/>
  <cp:lastModifiedBy>Bernardo Mendoza Ruenes</cp:lastModifiedBy>
  <cp:revision>5</cp:revision>
  <cp:lastPrinted>2024-05-15T14:56:00Z</cp:lastPrinted>
  <dcterms:created xsi:type="dcterms:W3CDTF">2024-07-11T17:15:00Z</dcterms:created>
  <dcterms:modified xsi:type="dcterms:W3CDTF">2024-07-11T17:23:00Z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3d0f518b548aac831f76b902f69aa3affdfe50879ca9cbcd5d0855dafe00bdb8</vt:lpwstr>
  </property>
</Properties>
</file>