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4B0264" w14:textId="56C3962A" w:rsidR="00F10699" w:rsidRPr="004F7CF0" w:rsidRDefault="0078415D" w:rsidP="00A60602">
      <w:pPr>
        <w:tabs>
          <w:tab w:val="left" w:pos="567"/>
        </w:tabs>
        <w:spacing w:afterLines="50" w:after="120" w:line="276" w:lineRule="auto"/>
        <w:jc w:val="right"/>
        <w:rPr>
          <w:rFonts w:ascii="Merriweather" w:hAnsi="Merriweather" w:cs="Times New Roman"/>
          <w:color w:val="002060"/>
          <w:sz w:val="24"/>
          <w:szCs w:val="24"/>
        </w:rPr>
      </w:pPr>
      <w:r>
        <w:rPr>
          <w:rFonts w:ascii="Merriweather" w:hAnsi="Merriweather" w:cs="Times New Roman"/>
          <w:color w:val="002060"/>
          <w:sz w:val="24"/>
          <w:szCs w:val="24"/>
        </w:rPr>
        <w:t>1</w:t>
      </w:r>
      <w:r w:rsidR="004F7CF0" w:rsidRPr="004F7CF0">
        <w:rPr>
          <w:rFonts w:ascii="Merriweather" w:hAnsi="Merriweather" w:cs="Times New Roman"/>
          <w:color w:val="002060"/>
          <w:sz w:val="24"/>
          <w:szCs w:val="24"/>
        </w:rPr>
        <w:t xml:space="preserve"> </w:t>
      </w:r>
      <w:r w:rsidR="00F10699" w:rsidRPr="004F7CF0">
        <w:rPr>
          <w:rFonts w:ascii="Merriweather" w:hAnsi="Merriweather" w:cs="Times New Roman"/>
          <w:color w:val="002060"/>
          <w:sz w:val="24"/>
          <w:szCs w:val="24"/>
        </w:rPr>
        <w:t xml:space="preserve">de </w:t>
      </w:r>
      <w:r w:rsidR="00475E98" w:rsidRPr="004F7CF0">
        <w:rPr>
          <w:rFonts w:ascii="Merriweather" w:hAnsi="Merriweather" w:cs="Times New Roman"/>
          <w:color w:val="002060"/>
          <w:sz w:val="24"/>
          <w:szCs w:val="24"/>
        </w:rPr>
        <w:t>ju</w:t>
      </w:r>
      <w:r>
        <w:rPr>
          <w:rFonts w:ascii="Merriweather" w:hAnsi="Merriweather" w:cs="Times New Roman"/>
          <w:color w:val="002060"/>
          <w:sz w:val="24"/>
          <w:szCs w:val="24"/>
        </w:rPr>
        <w:t>l</w:t>
      </w:r>
      <w:r w:rsidR="00475E98" w:rsidRPr="004F7CF0">
        <w:rPr>
          <w:rFonts w:ascii="Merriweather" w:hAnsi="Merriweather" w:cs="Times New Roman"/>
          <w:color w:val="002060"/>
          <w:sz w:val="24"/>
          <w:szCs w:val="24"/>
        </w:rPr>
        <w:t>io</w:t>
      </w:r>
      <w:r w:rsidR="00A56BB7" w:rsidRPr="004F7CF0">
        <w:rPr>
          <w:rFonts w:ascii="Merriweather" w:hAnsi="Merriweather" w:cs="Times New Roman"/>
          <w:color w:val="002060"/>
          <w:sz w:val="24"/>
          <w:szCs w:val="24"/>
        </w:rPr>
        <w:t xml:space="preserve"> </w:t>
      </w:r>
      <w:r w:rsidR="00F10699" w:rsidRPr="004F7CF0">
        <w:rPr>
          <w:rFonts w:ascii="Merriweather" w:hAnsi="Merriweather" w:cs="Times New Roman"/>
          <w:color w:val="002060"/>
          <w:sz w:val="24"/>
          <w:szCs w:val="24"/>
        </w:rPr>
        <w:t>de 2024</w:t>
      </w:r>
    </w:p>
    <w:p w14:paraId="46706059" w14:textId="4B92055A" w:rsidR="00BB1E71" w:rsidRPr="004F7CF0" w:rsidRDefault="00F10699" w:rsidP="00A60602">
      <w:pPr>
        <w:spacing w:afterLines="50" w:after="120" w:line="276" w:lineRule="auto"/>
        <w:jc w:val="center"/>
        <w:rPr>
          <w:rFonts w:ascii="Merriweather" w:hAnsi="Merriweather" w:cs="Times New Roman"/>
          <w:b/>
          <w:bCs/>
          <w:color w:val="002060"/>
          <w:sz w:val="24"/>
          <w:szCs w:val="24"/>
        </w:rPr>
      </w:pPr>
      <w:r w:rsidRPr="004F7CF0">
        <w:rPr>
          <w:rFonts w:ascii="Merriweather" w:hAnsi="Merriweather" w:cs="Times New Roman"/>
          <w:b/>
          <w:bCs/>
          <w:color w:val="002060"/>
          <w:sz w:val="24"/>
          <w:szCs w:val="24"/>
        </w:rPr>
        <w:t xml:space="preserve">Client </w:t>
      </w:r>
      <w:proofErr w:type="spellStart"/>
      <w:r w:rsidRPr="004F7CF0">
        <w:rPr>
          <w:rFonts w:ascii="Merriweather" w:hAnsi="Merriweather" w:cs="Times New Roman"/>
          <w:b/>
          <w:bCs/>
          <w:color w:val="002060"/>
          <w:sz w:val="24"/>
          <w:szCs w:val="24"/>
        </w:rPr>
        <w:t>Alert</w:t>
      </w:r>
      <w:proofErr w:type="spellEnd"/>
    </w:p>
    <w:p w14:paraId="16ACEC45" w14:textId="77777777" w:rsidR="003B1A1C" w:rsidRPr="004F7CF0" w:rsidRDefault="003B1A1C" w:rsidP="004D294B">
      <w:pPr>
        <w:spacing w:afterLines="50" w:after="120" w:line="276" w:lineRule="auto"/>
        <w:contextualSpacing/>
        <w:jc w:val="center"/>
        <w:rPr>
          <w:rFonts w:ascii="Times New Roman" w:hAnsi="Times New Roman" w:cs="Times New Roman"/>
          <w:b/>
          <w:smallCaps/>
          <w:sz w:val="24"/>
          <w:szCs w:val="24"/>
          <w:lang w:val="es"/>
        </w:rPr>
      </w:pPr>
    </w:p>
    <w:p w14:paraId="04C99ACE" w14:textId="32A8F432" w:rsidR="00BB1E71" w:rsidRPr="004F7CF0" w:rsidRDefault="00BB1E71" w:rsidP="00A60602">
      <w:pPr>
        <w:spacing w:afterLines="50" w:after="120" w:line="276" w:lineRule="auto"/>
        <w:contextualSpacing/>
        <w:jc w:val="center"/>
        <w:rPr>
          <w:rFonts w:ascii="Times New Roman" w:hAnsi="Times New Roman" w:cs="Times New Roman"/>
          <w:b/>
          <w:smallCaps/>
          <w:sz w:val="24"/>
          <w:szCs w:val="24"/>
          <w:lang w:val="es"/>
        </w:rPr>
      </w:pPr>
      <w:r w:rsidRPr="004F7CF0">
        <w:rPr>
          <w:rFonts w:ascii="Times New Roman" w:hAnsi="Times New Roman" w:cs="Times New Roman"/>
          <w:b/>
          <w:smallCaps/>
          <w:sz w:val="24"/>
          <w:szCs w:val="24"/>
          <w:lang w:val="es"/>
        </w:rPr>
        <w:t xml:space="preserve"> </w:t>
      </w:r>
      <w:r w:rsidR="00F0667C" w:rsidRPr="004F7CF0">
        <w:rPr>
          <w:rFonts w:ascii="Times New Roman" w:hAnsi="Times New Roman" w:cs="Times New Roman"/>
          <w:b/>
          <w:smallCaps/>
          <w:sz w:val="24"/>
          <w:szCs w:val="24"/>
          <w:lang w:val="es"/>
        </w:rPr>
        <w:t>La Comisión Nacional Bancaria y de Valores</w:t>
      </w:r>
      <w:r w:rsidR="00C36F87" w:rsidRPr="004F7CF0">
        <w:rPr>
          <w:rFonts w:ascii="Times New Roman" w:hAnsi="Times New Roman" w:cs="Times New Roman"/>
          <w:smallCaps/>
          <w:sz w:val="24"/>
          <w:szCs w:val="24"/>
          <w:lang w:val="es"/>
        </w:rPr>
        <w:t xml:space="preserve"> </w:t>
      </w:r>
      <w:r w:rsidR="009C71FB" w:rsidRPr="004F7CF0">
        <w:rPr>
          <w:rFonts w:ascii="Times New Roman" w:hAnsi="Times New Roman" w:cs="Times New Roman"/>
          <w:b/>
          <w:smallCaps/>
          <w:sz w:val="24"/>
          <w:szCs w:val="24"/>
          <w:lang w:val="es"/>
        </w:rPr>
        <w:t xml:space="preserve">prepara modificaciones a las Disposiciones de carácter general </w:t>
      </w:r>
      <w:r w:rsidR="002C6864" w:rsidRPr="004F7CF0">
        <w:rPr>
          <w:rFonts w:ascii="Times New Roman" w:hAnsi="Times New Roman" w:cs="Times New Roman"/>
          <w:b/>
          <w:smallCaps/>
          <w:sz w:val="24"/>
          <w:szCs w:val="24"/>
          <w:lang w:val="es"/>
        </w:rPr>
        <w:t>a que se refiere el artículo 115 de la Ley de</w:t>
      </w:r>
      <w:r w:rsidR="009C71FB" w:rsidRPr="004F7CF0">
        <w:rPr>
          <w:rFonts w:ascii="Times New Roman" w:hAnsi="Times New Roman" w:cs="Times New Roman"/>
          <w:b/>
          <w:smallCaps/>
          <w:sz w:val="24"/>
          <w:szCs w:val="24"/>
          <w:lang w:val="es"/>
        </w:rPr>
        <w:t xml:space="preserve"> Instituciones de Crédito</w:t>
      </w:r>
    </w:p>
    <w:p w14:paraId="04E346D0" w14:textId="77777777" w:rsidR="004D294B" w:rsidRPr="004F7CF0" w:rsidRDefault="004D294B" w:rsidP="00A60602">
      <w:pPr>
        <w:spacing w:afterLines="50" w:after="120" w:line="276" w:lineRule="auto"/>
        <w:contextualSpacing/>
        <w:jc w:val="center"/>
        <w:rPr>
          <w:rFonts w:ascii="Times New Roman" w:hAnsi="Times New Roman" w:cs="Times New Roman"/>
          <w:b/>
          <w:bCs/>
          <w:smallCaps/>
          <w:sz w:val="24"/>
          <w:szCs w:val="24"/>
        </w:rPr>
      </w:pPr>
    </w:p>
    <w:p w14:paraId="4E8EDD30" w14:textId="4FEF709C" w:rsidR="00195BF3" w:rsidRPr="004F7CF0" w:rsidRDefault="00CA6520">
      <w:pPr>
        <w:pStyle w:val="Prrafodelista"/>
        <w:numPr>
          <w:ilvl w:val="0"/>
          <w:numId w:val="12"/>
        </w:numPr>
        <w:tabs>
          <w:tab w:val="left" w:pos="7938"/>
        </w:tabs>
        <w:spacing w:after="0" w:line="276" w:lineRule="auto"/>
        <w:ind w:left="426" w:right="900" w:hanging="426"/>
        <w:jc w:val="both"/>
        <w:rPr>
          <w:rFonts w:ascii="Times New Roman" w:hAnsi="Times New Roman" w:cs="Times New Roman"/>
          <w:b/>
          <w:bCs/>
          <w:sz w:val="24"/>
          <w:szCs w:val="24"/>
        </w:rPr>
      </w:pPr>
      <w:r w:rsidRPr="004F7CF0">
        <w:rPr>
          <w:rFonts w:ascii="Times New Roman" w:hAnsi="Times New Roman" w:cs="Times New Roman"/>
          <w:b/>
          <w:bCs/>
          <w:sz w:val="24"/>
          <w:szCs w:val="24"/>
        </w:rPr>
        <w:t>Antecedentes</w:t>
      </w:r>
    </w:p>
    <w:p w14:paraId="5D9D87F6" w14:textId="77777777" w:rsidR="004F7CF0" w:rsidRPr="004F7CF0" w:rsidRDefault="004F7CF0" w:rsidP="004F7CF0">
      <w:pPr>
        <w:spacing w:after="0" w:line="276" w:lineRule="auto"/>
        <w:jc w:val="both"/>
        <w:rPr>
          <w:rFonts w:ascii="Times New Roman" w:hAnsi="Times New Roman" w:cs="Times New Roman"/>
          <w:sz w:val="24"/>
          <w:szCs w:val="24"/>
        </w:rPr>
      </w:pPr>
    </w:p>
    <w:p w14:paraId="3F80927C" w14:textId="7A3EFDDA" w:rsidR="004F7CF0" w:rsidRPr="004F7CF0" w:rsidRDefault="004F7CF0" w:rsidP="009847F5">
      <w:pPr>
        <w:spacing w:after="0" w:line="276" w:lineRule="auto"/>
        <w:ind w:firstLine="357"/>
        <w:jc w:val="both"/>
        <w:rPr>
          <w:rFonts w:ascii="Times New Roman" w:hAnsi="Times New Roman" w:cs="Times New Roman"/>
          <w:sz w:val="24"/>
          <w:szCs w:val="24"/>
        </w:rPr>
      </w:pPr>
      <w:r w:rsidRPr="004F7CF0">
        <w:rPr>
          <w:rFonts w:ascii="Times New Roman" w:hAnsi="Times New Roman" w:cs="Times New Roman"/>
          <w:sz w:val="24"/>
          <w:szCs w:val="24"/>
        </w:rPr>
        <w:t>El 31 de mayo de 2024, la CNBV envió a la Comisión Nacional para la Mejora Regulatoria (“</w:t>
      </w:r>
      <w:r w:rsidRPr="004F7CF0">
        <w:rPr>
          <w:rFonts w:ascii="Times New Roman" w:hAnsi="Times New Roman" w:cs="Times New Roman"/>
          <w:b/>
          <w:bCs/>
          <w:sz w:val="24"/>
          <w:szCs w:val="24"/>
        </w:rPr>
        <w:t>CONAMER</w:t>
      </w:r>
      <w:r w:rsidRPr="004F7CF0">
        <w:rPr>
          <w:rFonts w:ascii="Times New Roman" w:hAnsi="Times New Roman" w:cs="Times New Roman"/>
          <w:sz w:val="24"/>
          <w:szCs w:val="24"/>
        </w:rPr>
        <w:t>”) la “</w:t>
      </w:r>
      <w:r w:rsidRPr="004F7CF0">
        <w:rPr>
          <w:rFonts w:ascii="Times New Roman" w:hAnsi="Times New Roman" w:cs="Times New Roman"/>
          <w:i/>
          <w:iCs/>
          <w:sz w:val="24"/>
          <w:szCs w:val="24"/>
        </w:rPr>
        <w:t>Resolución que reforma, adiciona y deroga diversas de las Disposiciones de carácter general a que se refiere el Artículo 115 de la Ley de Instituciones de Crédito</w:t>
      </w:r>
      <w:r w:rsidRPr="004F7CF0">
        <w:rPr>
          <w:rFonts w:ascii="Times New Roman" w:hAnsi="Times New Roman" w:cs="Times New Roman"/>
          <w:sz w:val="24"/>
          <w:szCs w:val="24"/>
        </w:rPr>
        <w:t>” (el “</w:t>
      </w:r>
      <w:r w:rsidRPr="004F7CF0">
        <w:rPr>
          <w:rFonts w:ascii="Times New Roman" w:hAnsi="Times New Roman" w:cs="Times New Roman"/>
          <w:b/>
          <w:bCs/>
          <w:sz w:val="24"/>
          <w:szCs w:val="24"/>
        </w:rPr>
        <w:t>Anteproyecto</w:t>
      </w:r>
      <w:r w:rsidRPr="004F7CF0">
        <w:rPr>
          <w:rFonts w:ascii="Times New Roman" w:hAnsi="Times New Roman" w:cs="Times New Roman"/>
          <w:sz w:val="24"/>
          <w:szCs w:val="24"/>
        </w:rPr>
        <w:t xml:space="preserve">”). El expediente completo puede consultarse </w:t>
      </w:r>
      <w:hyperlink r:id="rId11" w:history="1">
        <w:r w:rsidRPr="004F7CF0">
          <w:rPr>
            <w:rStyle w:val="Hipervnculo"/>
            <w:rFonts w:ascii="Times New Roman" w:hAnsi="Times New Roman" w:cs="Times New Roman"/>
            <w:sz w:val="24"/>
            <w:szCs w:val="24"/>
          </w:rPr>
          <w:t>aquí</w:t>
        </w:r>
      </w:hyperlink>
      <w:r w:rsidRPr="004F7CF0">
        <w:rPr>
          <w:rFonts w:ascii="Times New Roman" w:hAnsi="Times New Roman" w:cs="Times New Roman"/>
          <w:sz w:val="24"/>
          <w:szCs w:val="24"/>
        </w:rPr>
        <w:t>.</w:t>
      </w:r>
    </w:p>
    <w:p w14:paraId="7699BFC8" w14:textId="77777777" w:rsidR="00195BF3" w:rsidRPr="004F7CF0" w:rsidRDefault="00195BF3" w:rsidP="005933D9">
      <w:pPr>
        <w:spacing w:after="0" w:line="276" w:lineRule="auto"/>
        <w:jc w:val="both"/>
        <w:rPr>
          <w:rFonts w:ascii="Times New Roman" w:hAnsi="Times New Roman" w:cs="Times New Roman"/>
          <w:sz w:val="24"/>
          <w:szCs w:val="24"/>
          <w:highlight w:val="yellow"/>
        </w:rPr>
      </w:pPr>
    </w:p>
    <w:p w14:paraId="4A07BC09" w14:textId="7B24F1F8" w:rsidR="00CA6520" w:rsidRPr="004F7CF0" w:rsidRDefault="004F7CF0" w:rsidP="004F7CF0">
      <w:pPr>
        <w:spacing w:after="0" w:line="276" w:lineRule="auto"/>
        <w:ind w:firstLine="357"/>
        <w:jc w:val="both"/>
        <w:rPr>
          <w:rFonts w:ascii="Times New Roman" w:hAnsi="Times New Roman" w:cs="Times New Roman"/>
          <w:sz w:val="24"/>
          <w:szCs w:val="24"/>
        </w:rPr>
      </w:pPr>
      <w:r w:rsidRPr="004F7CF0">
        <w:rPr>
          <w:rFonts w:ascii="Times New Roman" w:hAnsi="Times New Roman" w:cs="Times New Roman"/>
          <w:sz w:val="24"/>
          <w:szCs w:val="24"/>
        </w:rPr>
        <w:t xml:space="preserve">El Anteproyecto responde al llamado que hizo el </w:t>
      </w:r>
      <w:r w:rsidR="001224D6" w:rsidRPr="004F7CF0">
        <w:rPr>
          <w:rFonts w:ascii="Times New Roman" w:hAnsi="Times New Roman" w:cs="Times New Roman"/>
          <w:sz w:val="24"/>
          <w:szCs w:val="24"/>
        </w:rPr>
        <w:t>G</w:t>
      </w:r>
      <w:r w:rsidR="00CC69FE" w:rsidRPr="004F7CF0">
        <w:rPr>
          <w:rFonts w:ascii="Times New Roman" w:hAnsi="Times New Roman" w:cs="Times New Roman"/>
          <w:sz w:val="24"/>
          <w:szCs w:val="24"/>
        </w:rPr>
        <w:t>rupo de Acción Financiera Internacional (“</w:t>
      </w:r>
      <w:r w:rsidR="00CC69FE" w:rsidRPr="004F7CF0">
        <w:rPr>
          <w:rFonts w:ascii="Times New Roman" w:hAnsi="Times New Roman" w:cs="Times New Roman"/>
          <w:b/>
          <w:bCs/>
          <w:sz w:val="24"/>
          <w:szCs w:val="24"/>
        </w:rPr>
        <w:t>G</w:t>
      </w:r>
      <w:r w:rsidR="001224D6" w:rsidRPr="004F7CF0">
        <w:rPr>
          <w:rFonts w:ascii="Times New Roman" w:hAnsi="Times New Roman" w:cs="Times New Roman"/>
          <w:b/>
          <w:bCs/>
          <w:sz w:val="24"/>
          <w:szCs w:val="24"/>
        </w:rPr>
        <w:t>AFI</w:t>
      </w:r>
      <w:r w:rsidR="00CC69FE" w:rsidRPr="004F7CF0">
        <w:rPr>
          <w:rFonts w:ascii="Times New Roman" w:hAnsi="Times New Roman" w:cs="Times New Roman"/>
          <w:sz w:val="24"/>
          <w:szCs w:val="24"/>
        </w:rPr>
        <w:t>”)</w:t>
      </w:r>
      <w:r w:rsidR="001224D6" w:rsidRPr="004F7CF0">
        <w:rPr>
          <w:rFonts w:ascii="Times New Roman" w:hAnsi="Times New Roman" w:cs="Times New Roman"/>
          <w:sz w:val="24"/>
          <w:szCs w:val="24"/>
        </w:rPr>
        <w:t xml:space="preserve"> </w:t>
      </w:r>
      <w:r w:rsidRPr="004F7CF0">
        <w:rPr>
          <w:rFonts w:ascii="Times New Roman" w:hAnsi="Times New Roman" w:cs="Times New Roman"/>
          <w:sz w:val="24"/>
          <w:szCs w:val="24"/>
        </w:rPr>
        <w:t>para el uso de</w:t>
      </w:r>
      <w:r w:rsidR="001224D6" w:rsidRPr="004F7CF0">
        <w:rPr>
          <w:rFonts w:ascii="Times New Roman" w:hAnsi="Times New Roman" w:cs="Times New Roman"/>
          <w:sz w:val="24"/>
          <w:szCs w:val="24"/>
        </w:rPr>
        <w:t xml:space="preserve"> tecnología financiera</w:t>
      </w:r>
      <w:r w:rsidRPr="004F7CF0">
        <w:rPr>
          <w:rFonts w:ascii="Times New Roman" w:hAnsi="Times New Roman" w:cs="Times New Roman"/>
          <w:sz w:val="24"/>
          <w:szCs w:val="24"/>
        </w:rPr>
        <w:t>, por parte de las instituciones financieras (“</w:t>
      </w:r>
      <w:r w:rsidRPr="004F7CF0">
        <w:rPr>
          <w:rFonts w:ascii="Times New Roman" w:hAnsi="Times New Roman" w:cs="Times New Roman"/>
          <w:b/>
          <w:bCs/>
          <w:sz w:val="24"/>
          <w:szCs w:val="24"/>
        </w:rPr>
        <w:t>Instituciones</w:t>
      </w:r>
      <w:r w:rsidRPr="004F7CF0">
        <w:rPr>
          <w:rFonts w:ascii="Times New Roman" w:hAnsi="Times New Roman" w:cs="Times New Roman"/>
          <w:sz w:val="24"/>
          <w:szCs w:val="24"/>
        </w:rPr>
        <w:t>”)</w:t>
      </w:r>
      <w:r w:rsidR="001224D6" w:rsidRPr="004F7CF0">
        <w:rPr>
          <w:rFonts w:ascii="Times New Roman" w:hAnsi="Times New Roman" w:cs="Times New Roman"/>
          <w:sz w:val="24"/>
          <w:szCs w:val="24"/>
        </w:rPr>
        <w:t xml:space="preserve"> para la prevención del lavado de dinero y financiamiento del terrorismo (“</w:t>
      </w:r>
      <w:r w:rsidR="001224D6" w:rsidRPr="004F7CF0">
        <w:rPr>
          <w:rFonts w:ascii="Times New Roman" w:hAnsi="Times New Roman" w:cs="Times New Roman"/>
          <w:b/>
          <w:bCs/>
          <w:sz w:val="24"/>
          <w:szCs w:val="24"/>
        </w:rPr>
        <w:t>PLD/FT</w:t>
      </w:r>
      <w:r w:rsidR="001224D6" w:rsidRPr="004F7CF0">
        <w:rPr>
          <w:rFonts w:ascii="Times New Roman" w:hAnsi="Times New Roman" w:cs="Times New Roman"/>
          <w:sz w:val="24"/>
          <w:szCs w:val="24"/>
        </w:rPr>
        <w:t xml:space="preserve">”). </w:t>
      </w:r>
    </w:p>
    <w:p w14:paraId="01A61707" w14:textId="77777777" w:rsidR="005933D9" w:rsidRPr="004F7CF0" w:rsidRDefault="005933D9" w:rsidP="005933D9">
      <w:pPr>
        <w:spacing w:after="0" w:line="276" w:lineRule="auto"/>
        <w:jc w:val="both"/>
        <w:rPr>
          <w:rFonts w:ascii="Times New Roman" w:hAnsi="Times New Roman" w:cs="Times New Roman"/>
          <w:sz w:val="24"/>
          <w:szCs w:val="24"/>
        </w:rPr>
      </w:pPr>
    </w:p>
    <w:p w14:paraId="159857A1" w14:textId="65F85947" w:rsidR="00CB648E" w:rsidRPr="004F7CF0" w:rsidRDefault="004F7CF0" w:rsidP="005933D9">
      <w:pPr>
        <w:spacing w:after="0" w:line="276" w:lineRule="auto"/>
        <w:ind w:firstLine="357"/>
        <w:jc w:val="both"/>
        <w:rPr>
          <w:rFonts w:ascii="Times New Roman" w:hAnsi="Times New Roman" w:cs="Times New Roman"/>
          <w:sz w:val="24"/>
          <w:szCs w:val="24"/>
        </w:rPr>
      </w:pPr>
      <w:r w:rsidRPr="004F7CF0">
        <w:rPr>
          <w:rFonts w:ascii="Times New Roman" w:hAnsi="Times New Roman" w:cs="Times New Roman"/>
          <w:sz w:val="24"/>
          <w:szCs w:val="24"/>
        </w:rPr>
        <w:t xml:space="preserve">Desde </w:t>
      </w:r>
      <w:r w:rsidR="001224D6" w:rsidRPr="004F7CF0">
        <w:rPr>
          <w:rFonts w:ascii="Times New Roman" w:hAnsi="Times New Roman" w:cs="Times New Roman"/>
          <w:sz w:val="24"/>
          <w:szCs w:val="24"/>
        </w:rPr>
        <w:t xml:space="preserve">marzo de 2019 </w:t>
      </w:r>
      <w:r w:rsidR="00CC69FE" w:rsidRPr="004F7CF0">
        <w:rPr>
          <w:rFonts w:ascii="Times New Roman" w:hAnsi="Times New Roman" w:cs="Times New Roman"/>
          <w:sz w:val="24"/>
          <w:szCs w:val="24"/>
        </w:rPr>
        <w:t xml:space="preserve">se incorporó a </w:t>
      </w:r>
      <w:r w:rsidR="001224D6" w:rsidRPr="004F7CF0">
        <w:rPr>
          <w:rFonts w:ascii="Times New Roman" w:hAnsi="Times New Roman" w:cs="Times New Roman"/>
          <w:sz w:val="24"/>
          <w:szCs w:val="24"/>
        </w:rPr>
        <w:t>la regulación mexicana en materia de PLD/FT un régimen de identificación no presencial</w:t>
      </w:r>
      <w:r w:rsidRPr="004F7CF0">
        <w:rPr>
          <w:rFonts w:ascii="Times New Roman" w:hAnsi="Times New Roman" w:cs="Times New Roman"/>
          <w:sz w:val="24"/>
          <w:szCs w:val="24"/>
        </w:rPr>
        <w:t>; sin embargo,</w:t>
      </w:r>
      <w:r w:rsidR="001224D6" w:rsidRPr="004F7CF0">
        <w:rPr>
          <w:rFonts w:ascii="Times New Roman" w:hAnsi="Times New Roman" w:cs="Times New Roman"/>
          <w:sz w:val="24"/>
          <w:szCs w:val="24"/>
        </w:rPr>
        <w:t xml:space="preserve"> ha resultado insuficiente para satisfacer las necesidades del público </w:t>
      </w:r>
      <w:r w:rsidR="003F4B4A" w:rsidRPr="004F7CF0">
        <w:rPr>
          <w:rFonts w:ascii="Times New Roman" w:hAnsi="Times New Roman" w:cs="Times New Roman"/>
          <w:sz w:val="24"/>
          <w:szCs w:val="24"/>
        </w:rPr>
        <w:t>y</w:t>
      </w:r>
      <w:r w:rsidR="001224D6" w:rsidRPr="004F7CF0">
        <w:rPr>
          <w:rFonts w:ascii="Times New Roman" w:hAnsi="Times New Roman" w:cs="Times New Roman"/>
          <w:sz w:val="24"/>
          <w:szCs w:val="24"/>
        </w:rPr>
        <w:t xml:space="preserve"> para mitigar los riesgos</w:t>
      </w:r>
      <w:r w:rsidR="003F4B4A" w:rsidRPr="004F7CF0">
        <w:rPr>
          <w:rFonts w:ascii="Times New Roman" w:hAnsi="Times New Roman" w:cs="Times New Roman"/>
          <w:sz w:val="24"/>
          <w:szCs w:val="24"/>
        </w:rPr>
        <w:t xml:space="preserve"> en la materia</w:t>
      </w:r>
      <w:r w:rsidR="00195BF3" w:rsidRPr="004F7CF0">
        <w:rPr>
          <w:rFonts w:ascii="Times New Roman" w:hAnsi="Times New Roman" w:cs="Times New Roman"/>
          <w:sz w:val="24"/>
          <w:szCs w:val="24"/>
        </w:rPr>
        <w:t>, considerando la actualización de la Evaluación Nacional de Riesgos de 2023</w:t>
      </w:r>
      <w:r w:rsidR="003F4B4A" w:rsidRPr="004F7CF0">
        <w:rPr>
          <w:rFonts w:ascii="Times New Roman" w:hAnsi="Times New Roman" w:cs="Times New Roman"/>
          <w:sz w:val="24"/>
          <w:szCs w:val="24"/>
        </w:rPr>
        <w:t>.</w:t>
      </w:r>
      <w:r w:rsidR="00CC69FE" w:rsidRPr="004F7CF0">
        <w:rPr>
          <w:rFonts w:ascii="Times New Roman" w:hAnsi="Times New Roman" w:cs="Times New Roman"/>
          <w:sz w:val="24"/>
          <w:szCs w:val="24"/>
        </w:rPr>
        <w:t xml:space="preserve"> </w:t>
      </w:r>
    </w:p>
    <w:p w14:paraId="16ABFDEF" w14:textId="77777777" w:rsidR="005933D9" w:rsidRPr="004F7CF0" w:rsidRDefault="005933D9" w:rsidP="005933D9">
      <w:pPr>
        <w:spacing w:after="0" w:line="276" w:lineRule="auto"/>
        <w:ind w:firstLine="357"/>
        <w:jc w:val="both"/>
        <w:rPr>
          <w:rFonts w:ascii="Times New Roman" w:hAnsi="Times New Roman" w:cs="Times New Roman"/>
          <w:sz w:val="24"/>
          <w:szCs w:val="24"/>
          <w:highlight w:val="yellow"/>
        </w:rPr>
      </w:pPr>
    </w:p>
    <w:p w14:paraId="1E48CCCE" w14:textId="2A91FDB7" w:rsidR="005933D9" w:rsidRPr="004F7CF0" w:rsidRDefault="004F7CF0" w:rsidP="00021864">
      <w:pPr>
        <w:spacing w:after="0" w:line="276" w:lineRule="auto"/>
        <w:ind w:firstLine="426"/>
        <w:jc w:val="both"/>
        <w:rPr>
          <w:rFonts w:ascii="Times New Roman" w:hAnsi="Times New Roman" w:cs="Times New Roman"/>
          <w:sz w:val="24"/>
          <w:szCs w:val="24"/>
        </w:rPr>
      </w:pPr>
      <w:r w:rsidRPr="004F7CF0">
        <w:rPr>
          <w:rFonts w:ascii="Times New Roman" w:hAnsi="Times New Roman" w:cs="Times New Roman"/>
          <w:sz w:val="24"/>
          <w:szCs w:val="24"/>
        </w:rPr>
        <w:t>El Anteproyecto se encuentra en proceso de consulta pública por un periodo de al menos 20 días hábiles, con la finalidad de que cualquier persona interesada envíe comentarios y sugerencias, los cuales deberán ser atendidos por la autoridad previo a su publicación en el Diario Oficial de la Federación y entrada en vigor.</w:t>
      </w:r>
    </w:p>
    <w:p w14:paraId="31138A5D" w14:textId="77777777" w:rsidR="004F7CF0" w:rsidRPr="004F7CF0" w:rsidRDefault="004F7CF0" w:rsidP="004F7CF0">
      <w:pPr>
        <w:spacing w:after="0" w:line="276" w:lineRule="auto"/>
        <w:ind w:firstLine="708"/>
        <w:jc w:val="both"/>
        <w:rPr>
          <w:rFonts w:ascii="Times New Roman" w:hAnsi="Times New Roman" w:cs="Times New Roman"/>
          <w:sz w:val="24"/>
          <w:szCs w:val="24"/>
        </w:rPr>
      </w:pPr>
    </w:p>
    <w:p w14:paraId="6F7A765E" w14:textId="77777777" w:rsidR="004F7CF0" w:rsidRPr="004F7CF0" w:rsidRDefault="004F7CF0" w:rsidP="004F7CF0">
      <w:pPr>
        <w:spacing w:after="0" w:line="276" w:lineRule="auto"/>
        <w:ind w:firstLine="708"/>
        <w:jc w:val="both"/>
        <w:rPr>
          <w:rFonts w:ascii="Times New Roman" w:hAnsi="Times New Roman" w:cs="Times New Roman"/>
          <w:sz w:val="24"/>
          <w:szCs w:val="24"/>
        </w:rPr>
      </w:pPr>
    </w:p>
    <w:p w14:paraId="15D08033" w14:textId="77777777" w:rsidR="005933D9" w:rsidRPr="004F7CF0" w:rsidRDefault="005933D9" w:rsidP="005933D9">
      <w:pPr>
        <w:spacing w:after="0" w:line="276" w:lineRule="auto"/>
        <w:ind w:firstLine="357"/>
        <w:jc w:val="both"/>
        <w:rPr>
          <w:rFonts w:ascii="Times New Roman" w:hAnsi="Times New Roman" w:cs="Times New Roman"/>
          <w:sz w:val="24"/>
          <w:szCs w:val="24"/>
        </w:rPr>
      </w:pPr>
    </w:p>
    <w:p w14:paraId="26708778" w14:textId="21BD17FF" w:rsidR="005E63BD" w:rsidRPr="004F7CF0" w:rsidRDefault="00CA6520" w:rsidP="005933D9">
      <w:pPr>
        <w:pStyle w:val="Prrafodelista"/>
        <w:numPr>
          <w:ilvl w:val="0"/>
          <w:numId w:val="12"/>
        </w:numPr>
        <w:tabs>
          <w:tab w:val="left" w:pos="7938"/>
        </w:tabs>
        <w:spacing w:after="0" w:line="276" w:lineRule="auto"/>
        <w:ind w:left="426" w:right="900" w:hanging="426"/>
        <w:jc w:val="both"/>
        <w:rPr>
          <w:rFonts w:ascii="Times New Roman" w:hAnsi="Times New Roman" w:cs="Times New Roman"/>
          <w:b/>
          <w:sz w:val="24"/>
          <w:szCs w:val="24"/>
          <w:lang w:val="es"/>
        </w:rPr>
      </w:pPr>
      <w:r w:rsidRPr="004F7CF0">
        <w:rPr>
          <w:rFonts w:ascii="Times New Roman" w:hAnsi="Times New Roman" w:cs="Times New Roman"/>
          <w:b/>
          <w:sz w:val="24"/>
          <w:szCs w:val="24"/>
          <w:lang w:val="es"/>
        </w:rPr>
        <w:lastRenderedPageBreak/>
        <w:t>Contenido del Anteproyecto</w:t>
      </w:r>
    </w:p>
    <w:p w14:paraId="7D3C8982" w14:textId="77777777" w:rsidR="004D294B" w:rsidRPr="004F7CF0" w:rsidRDefault="004D294B" w:rsidP="00A60602">
      <w:pPr>
        <w:pStyle w:val="Prrafodelista"/>
        <w:spacing w:after="0" w:line="276" w:lineRule="auto"/>
        <w:rPr>
          <w:rFonts w:ascii="Times New Roman" w:hAnsi="Times New Roman" w:cs="Times New Roman"/>
          <w:sz w:val="24"/>
          <w:szCs w:val="24"/>
        </w:rPr>
      </w:pPr>
    </w:p>
    <w:p w14:paraId="2B855285" w14:textId="7883740E" w:rsidR="004D294B" w:rsidRPr="004F7CF0" w:rsidRDefault="00B452BB" w:rsidP="00A60602">
      <w:pPr>
        <w:pStyle w:val="Prrafodelista"/>
        <w:numPr>
          <w:ilvl w:val="0"/>
          <w:numId w:val="15"/>
        </w:numPr>
        <w:spacing w:after="0" w:line="276" w:lineRule="auto"/>
        <w:ind w:left="426" w:hanging="426"/>
        <w:rPr>
          <w:rFonts w:ascii="Times New Roman" w:hAnsi="Times New Roman" w:cs="Times New Roman"/>
          <w:b/>
          <w:bCs/>
          <w:sz w:val="24"/>
          <w:szCs w:val="24"/>
        </w:rPr>
      </w:pPr>
      <w:r w:rsidRPr="004F7CF0">
        <w:rPr>
          <w:rFonts w:ascii="Times New Roman" w:hAnsi="Times New Roman" w:cs="Times New Roman"/>
          <w:b/>
          <w:bCs/>
          <w:sz w:val="24"/>
          <w:szCs w:val="24"/>
        </w:rPr>
        <w:t>Identificaciones permitida</w:t>
      </w:r>
      <w:r w:rsidR="005E77FA" w:rsidRPr="004F7CF0">
        <w:rPr>
          <w:rFonts w:ascii="Times New Roman" w:hAnsi="Times New Roman" w:cs="Times New Roman"/>
          <w:b/>
          <w:bCs/>
          <w:sz w:val="24"/>
          <w:szCs w:val="24"/>
        </w:rPr>
        <w:t>s</w:t>
      </w:r>
    </w:p>
    <w:p w14:paraId="2D7EDA63" w14:textId="77777777" w:rsidR="004D294B" w:rsidRPr="004F7CF0" w:rsidRDefault="004D294B" w:rsidP="004D294B">
      <w:pPr>
        <w:spacing w:after="0" w:line="276" w:lineRule="auto"/>
        <w:rPr>
          <w:rFonts w:ascii="Times New Roman" w:hAnsi="Times New Roman" w:cs="Times New Roman"/>
          <w:sz w:val="24"/>
          <w:szCs w:val="24"/>
        </w:rPr>
      </w:pPr>
    </w:p>
    <w:p w14:paraId="5DC44ACF" w14:textId="4269DBCA" w:rsidR="00B27AF4" w:rsidRPr="008E755F" w:rsidRDefault="00372BF2" w:rsidP="008E755F">
      <w:pPr>
        <w:spacing w:after="0" w:line="276" w:lineRule="auto"/>
        <w:ind w:firstLine="426"/>
        <w:jc w:val="both"/>
        <w:rPr>
          <w:rFonts w:ascii="Times New Roman" w:eastAsia="Times New Roman" w:hAnsi="Times New Roman" w:cs="Times New Roman"/>
          <w:sz w:val="24"/>
          <w:szCs w:val="24"/>
          <w:lang w:eastAsia="es-MX"/>
        </w:rPr>
      </w:pPr>
      <w:r w:rsidRPr="008E755F">
        <w:rPr>
          <w:rFonts w:ascii="Times New Roman" w:eastAsia="Times New Roman" w:hAnsi="Times New Roman" w:cs="Times New Roman"/>
          <w:sz w:val="24"/>
          <w:szCs w:val="24"/>
          <w:lang w:eastAsia="es-MX"/>
        </w:rPr>
        <w:t>El documento</w:t>
      </w:r>
      <w:r w:rsidR="00B27AF4" w:rsidRPr="008E755F">
        <w:rPr>
          <w:rFonts w:ascii="Times New Roman" w:eastAsia="Times New Roman" w:hAnsi="Times New Roman" w:cs="Times New Roman"/>
          <w:sz w:val="24"/>
          <w:szCs w:val="24"/>
          <w:lang w:eastAsia="es-MX"/>
        </w:rPr>
        <w:t xml:space="preserve"> de identificación </w:t>
      </w:r>
      <w:r w:rsidRPr="008E755F">
        <w:rPr>
          <w:rFonts w:ascii="Times New Roman" w:eastAsia="Times New Roman" w:hAnsi="Times New Roman" w:cs="Times New Roman"/>
          <w:sz w:val="24"/>
          <w:szCs w:val="24"/>
          <w:lang w:eastAsia="es-MX"/>
        </w:rPr>
        <w:t>podrá servir</w:t>
      </w:r>
      <w:r w:rsidR="00B27AF4" w:rsidRPr="008E755F">
        <w:rPr>
          <w:rFonts w:ascii="Times New Roman" w:eastAsia="Times New Roman" w:hAnsi="Times New Roman" w:cs="Times New Roman"/>
          <w:sz w:val="24"/>
          <w:szCs w:val="24"/>
          <w:lang w:eastAsia="es-MX"/>
        </w:rPr>
        <w:t xml:space="preserve"> como comprobante de domicilio</w:t>
      </w:r>
      <w:r w:rsidR="00A7293E" w:rsidRPr="008E755F">
        <w:rPr>
          <w:rFonts w:ascii="Times New Roman" w:eastAsia="Times New Roman" w:hAnsi="Times New Roman" w:cs="Times New Roman"/>
          <w:sz w:val="24"/>
          <w:szCs w:val="24"/>
          <w:lang w:eastAsia="es-MX"/>
        </w:rPr>
        <w:t>, siempre y cuando sea el domicilio señalado por el Cliente</w:t>
      </w:r>
      <w:r w:rsidR="00B27AF4" w:rsidRPr="008E755F">
        <w:rPr>
          <w:rFonts w:ascii="Times New Roman" w:eastAsia="Times New Roman" w:hAnsi="Times New Roman" w:cs="Times New Roman"/>
          <w:sz w:val="24"/>
          <w:szCs w:val="24"/>
          <w:lang w:eastAsia="es-MX"/>
        </w:rPr>
        <w:t xml:space="preserve">.  </w:t>
      </w:r>
    </w:p>
    <w:p w14:paraId="6B9EEA93" w14:textId="0171D351" w:rsidR="004D294B" w:rsidRPr="004F7CF0" w:rsidRDefault="004D294B" w:rsidP="00A60602">
      <w:pPr>
        <w:tabs>
          <w:tab w:val="left" w:pos="4678"/>
        </w:tabs>
        <w:spacing w:after="0" w:line="240" w:lineRule="auto"/>
        <w:ind w:left="426" w:hanging="284"/>
        <w:contextualSpacing/>
        <w:jc w:val="both"/>
        <w:rPr>
          <w:rFonts w:ascii="Times New Roman" w:hAnsi="Times New Roman" w:cs="Times New Roman"/>
          <w:b/>
          <w:color w:val="000000"/>
          <w:sz w:val="24"/>
          <w:szCs w:val="24"/>
          <w:lang w:val="es-ES"/>
        </w:rPr>
      </w:pPr>
    </w:p>
    <w:p w14:paraId="02F06046" w14:textId="2868CF56" w:rsidR="003B1A1C" w:rsidRPr="008E755F" w:rsidRDefault="008E755F" w:rsidP="008E755F">
      <w:pPr>
        <w:spacing w:after="0" w:line="276" w:lineRule="auto"/>
        <w:ind w:firstLine="426"/>
        <w:jc w:val="both"/>
        <w:rPr>
          <w:rFonts w:ascii="Times New Roman" w:hAnsi="Times New Roman" w:cs="Times New Roman"/>
          <w:b/>
          <w:bCs/>
          <w:sz w:val="24"/>
          <w:szCs w:val="24"/>
        </w:rPr>
      </w:pPr>
      <w:r w:rsidRPr="008E755F">
        <w:rPr>
          <w:rFonts w:ascii="Times New Roman" w:eastAsia="Times New Roman" w:hAnsi="Times New Roman" w:cs="Times New Roman"/>
          <w:sz w:val="24"/>
          <w:szCs w:val="24"/>
          <w:lang w:eastAsia="es-MX"/>
        </w:rPr>
        <w:t>E</w:t>
      </w:r>
      <w:r w:rsidR="003B1A1C" w:rsidRPr="008E755F">
        <w:rPr>
          <w:rFonts w:ascii="Times New Roman" w:eastAsia="Times New Roman" w:hAnsi="Times New Roman" w:cs="Times New Roman"/>
          <w:sz w:val="24"/>
          <w:szCs w:val="24"/>
          <w:lang w:eastAsia="es-MX"/>
        </w:rPr>
        <w:t>l Anteproyecto incluye nuevos documentos con la finalidad facilitar el proceso de identificación tanto presencial como remota: la credencial de identidad militar, la credenc</w:t>
      </w:r>
      <w:r w:rsidR="00054EC9" w:rsidRPr="008E755F">
        <w:rPr>
          <w:rFonts w:ascii="Times New Roman" w:eastAsia="Times New Roman" w:hAnsi="Times New Roman" w:cs="Times New Roman"/>
          <w:sz w:val="24"/>
          <w:szCs w:val="24"/>
          <w:lang w:eastAsia="es-MX"/>
        </w:rPr>
        <w:t>i</w:t>
      </w:r>
      <w:r w:rsidR="003B1A1C" w:rsidRPr="008E755F">
        <w:rPr>
          <w:rFonts w:ascii="Times New Roman" w:eastAsia="Times New Roman" w:hAnsi="Times New Roman" w:cs="Times New Roman"/>
          <w:sz w:val="24"/>
          <w:szCs w:val="24"/>
          <w:lang w:eastAsia="es-MX"/>
        </w:rPr>
        <w:t>al para votar expedida por oficinas consulares de la Secretaría de Relaciones Exteriores</w:t>
      </w:r>
      <w:r w:rsidR="00021864" w:rsidRPr="008E755F">
        <w:rPr>
          <w:rFonts w:ascii="Times New Roman" w:eastAsia="Times New Roman" w:hAnsi="Times New Roman" w:cs="Times New Roman"/>
          <w:sz w:val="24"/>
          <w:szCs w:val="24"/>
          <w:lang w:eastAsia="es-MX"/>
        </w:rPr>
        <w:t xml:space="preserve"> (“</w:t>
      </w:r>
      <w:r w:rsidR="00021864" w:rsidRPr="008E755F">
        <w:rPr>
          <w:rFonts w:ascii="Times New Roman" w:eastAsia="Times New Roman" w:hAnsi="Times New Roman" w:cs="Times New Roman"/>
          <w:b/>
          <w:bCs/>
          <w:sz w:val="24"/>
          <w:szCs w:val="24"/>
          <w:lang w:eastAsia="es-MX"/>
        </w:rPr>
        <w:t>SRE</w:t>
      </w:r>
      <w:r w:rsidR="00021864" w:rsidRPr="008E755F">
        <w:rPr>
          <w:rFonts w:ascii="Times New Roman" w:eastAsia="Times New Roman" w:hAnsi="Times New Roman" w:cs="Times New Roman"/>
          <w:sz w:val="24"/>
          <w:szCs w:val="24"/>
          <w:lang w:eastAsia="es-MX"/>
        </w:rPr>
        <w:t xml:space="preserve">”); </w:t>
      </w:r>
      <w:r w:rsidR="003B1A1C" w:rsidRPr="008E755F">
        <w:rPr>
          <w:rFonts w:ascii="Times New Roman" w:eastAsia="Times New Roman" w:hAnsi="Times New Roman" w:cs="Times New Roman"/>
          <w:sz w:val="24"/>
          <w:szCs w:val="24"/>
          <w:lang w:eastAsia="es-MX"/>
        </w:rPr>
        <w:t xml:space="preserve">las identificaciones otorgadas en el extranjero distintas al pasaporte, tales como licencia de conducir y credenciales emitidas por autoridades federales o equivalentes. </w:t>
      </w:r>
    </w:p>
    <w:p w14:paraId="215E5C91" w14:textId="77777777" w:rsidR="008E755F" w:rsidRDefault="008E755F" w:rsidP="008E755F">
      <w:pPr>
        <w:spacing w:after="0" w:line="276" w:lineRule="auto"/>
        <w:ind w:firstLine="426"/>
        <w:jc w:val="both"/>
        <w:rPr>
          <w:rFonts w:ascii="Times New Roman" w:hAnsi="Times New Roman" w:cs="Times New Roman"/>
          <w:sz w:val="24"/>
          <w:szCs w:val="24"/>
        </w:rPr>
      </w:pPr>
    </w:p>
    <w:p w14:paraId="1AB05807" w14:textId="02AC26EF" w:rsidR="00150156" w:rsidRPr="008E755F" w:rsidRDefault="00021864" w:rsidP="008E755F">
      <w:pPr>
        <w:spacing w:after="0" w:line="276" w:lineRule="auto"/>
        <w:ind w:firstLine="426"/>
        <w:jc w:val="both"/>
        <w:rPr>
          <w:rFonts w:ascii="Times New Roman" w:hAnsi="Times New Roman" w:cs="Times New Roman"/>
          <w:b/>
          <w:bCs/>
          <w:sz w:val="24"/>
          <w:szCs w:val="24"/>
        </w:rPr>
      </w:pPr>
      <w:r w:rsidRPr="008E755F">
        <w:rPr>
          <w:rFonts w:ascii="Times New Roman" w:hAnsi="Times New Roman" w:cs="Times New Roman"/>
          <w:sz w:val="24"/>
          <w:szCs w:val="24"/>
        </w:rPr>
        <w:t xml:space="preserve">Las </w:t>
      </w:r>
      <w:r w:rsidR="00150156" w:rsidRPr="008E755F">
        <w:rPr>
          <w:rFonts w:ascii="Times New Roman" w:hAnsi="Times New Roman" w:cs="Times New Roman"/>
          <w:sz w:val="24"/>
          <w:szCs w:val="24"/>
        </w:rPr>
        <w:t>personas extranjeras en calidad de refugiadas</w:t>
      </w:r>
      <w:r w:rsidR="0078415D" w:rsidRPr="008E755F">
        <w:rPr>
          <w:rFonts w:ascii="Times New Roman" w:hAnsi="Times New Roman" w:cs="Times New Roman"/>
          <w:sz w:val="24"/>
          <w:szCs w:val="24"/>
        </w:rPr>
        <w:t xml:space="preserve"> </w:t>
      </w:r>
      <w:r w:rsidRPr="008E755F">
        <w:rPr>
          <w:rFonts w:ascii="Times New Roman" w:hAnsi="Times New Roman" w:cs="Times New Roman"/>
          <w:sz w:val="24"/>
          <w:szCs w:val="24"/>
        </w:rPr>
        <w:t>podrán presentar su</w:t>
      </w:r>
      <w:r w:rsidR="00150156" w:rsidRPr="008E755F">
        <w:rPr>
          <w:rFonts w:ascii="Times New Roman" w:hAnsi="Times New Roman" w:cs="Times New Roman"/>
          <w:sz w:val="24"/>
          <w:szCs w:val="24"/>
        </w:rPr>
        <w:t xml:space="preserve"> </w:t>
      </w:r>
      <w:r w:rsidR="00150156" w:rsidRPr="008E755F">
        <w:rPr>
          <w:rFonts w:ascii="Times New Roman" w:hAnsi="Times New Roman" w:cs="Times New Roman"/>
          <w:sz w:val="24"/>
          <w:szCs w:val="24"/>
          <w:u w:val="single"/>
        </w:rPr>
        <w:t>CURP</w:t>
      </w:r>
      <w:r w:rsidRPr="008E755F">
        <w:rPr>
          <w:rFonts w:ascii="Times New Roman" w:hAnsi="Times New Roman" w:cs="Times New Roman"/>
          <w:sz w:val="24"/>
          <w:szCs w:val="24"/>
          <w:u w:val="single"/>
        </w:rPr>
        <w:t xml:space="preserve"> temporal</w:t>
      </w:r>
      <w:r w:rsidR="00150156" w:rsidRPr="008E755F">
        <w:rPr>
          <w:rFonts w:ascii="Times New Roman" w:hAnsi="Times New Roman" w:cs="Times New Roman"/>
          <w:sz w:val="24"/>
          <w:szCs w:val="24"/>
        </w:rPr>
        <w:t xml:space="preserve">. Sus cuentas serán de </w:t>
      </w:r>
      <w:r w:rsidR="00A2669A" w:rsidRPr="008E755F">
        <w:rPr>
          <w:rFonts w:ascii="Times New Roman" w:hAnsi="Times New Roman" w:cs="Times New Roman"/>
          <w:sz w:val="24"/>
          <w:szCs w:val="24"/>
        </w:rPr>
        <w:t xml:space="preserve">nivel 2 </w:t>
      </w:r>
      <w:r w:rsidR="00150156" w:rsidRPr="008E755F">
        <w:rPr>
          <w:rFonts w:ascii="Times New Roman" w:hAnsi="Times New Roman" w:cs="Times New Roman"/>
          <w:sz w:val="24"/>
          <w:szCs w:val="24"/>
        </w:rPr>
        <w:t>de bajo riesgo.</w:t>
      </w:r>
    </w:p>
    <w:p w14:paraId="6F0162E0" w14:textId="77777777" w:rsidR="004D294B" w:rsidRPr="004F7CF0" w:rsidRDefault="004D294B" w:rsidP="00A60602">
      <w:pPr>
        <w:spacing w:after="0" w:line="276" w:lineRule="auto"/>
        <w:rPr>
          <w:rFonts w:ascii="Times New Roman" w:hAnsi="Times New Roman" w:cs="Times New Roman"/>
          <w:sz w:val="24"/>
          <w:szCs w:val="24"/>
        </w:rPr>
      </w:pPr>
    </w:p>
    <w:p w14:paraId="48A7322C" w14:textId="5ED9E5BA" w:rsidR="004D294B" w:rsidRPr="004F7CF0" w:rsidRDefault="004D294B" w:rsidP="00A60602">
      <w:pPr>
        <w:pStyle w:val="Prrafodelista"/>
        <w:numPr>
          <w:ilvl w:val="0"/>
          <w:numId w:val="15"/>
        </w:numPr>
        <w:spacing w:after="0" w:line="276" w:lineRule="auto"/>
        <w:ind w:left="426" w:hanging="426"/>
        <w:rPr>
          <w:rFonts w:ascii="Times New Roman" w:hAnsi="Times New Roman" w:cs="Times New Roman"/>
          <w:sz w:val="24"/>
          <w:szCs w:val="24"/>
        </w:rPr>
      </w:pPr>
      <w:r w:rsidRPr="004F7CF0">
        <w:rPr>
          <w:rFonts w:ascii="Times New Roman" w:hAnsi="Times New Roman" w:cs="Times New Roman"/>
          <w:b/>
          <w:bCs/>
          <w:sz w:val="24"/>
          <w:szCs w:val="24"/>
        </w:rPr>
        <w:t>Apertura de cuentas y celebración de contratos no presenciales</w:t>
      </w:r>
    </w:p>
    <w:p w14:paraId="4F8E0795" w14:textId="77777777" w:rsidR="00B16265" w:rsidRPr="004F7CF0" w:rsidRDefault="00B16265" w:rsidP="004D294B">
      <w:pPr>
        <w:spacing w:after="0" w:line="276" w:lineRule="auto"/>
        <w:rPr>
          <w:rFonts w:ascii="Times New Roman" w:hAnsi="Times New Roman" w:cs="Times New Roman"/>
          <w:sz w:val="24"/>
          <w:szCs w:val="24"/>
        </w:rPr>
      </w:pPr>
    </w:p>
    <w:p w14:paraId="119E640E" w14:textId="7EC49133" w:rsidR="009A4656" w:rsidRPr="00031961" w:rsidRDefault="00A7293E" w:rsidP="00031961">
      <w:pPr>
        <w:spacing w:after="0" w:line="276" w:lineRule="auto"/>
        <w:ind w:firstLine="426"/>
        <w:jc w:val="both"/>
        <w:rPr>
          <w:rFonts w:ascii="Times New Roman" w:eastAsia="Times New Roman" w:hAnsi="Times New Roman" w:cs="Times New Roman"/>
          <w:sz w:val="24"/>
          <w:szCs w:val="24"/>
          <w:lang w:eastAsia="es-MX"/>
        </w:rPr>
      </w:pPr>
      <w:r w:rsidRPr="00031961">
        <w:rPr>
          <w:rFonts w:ascii="Times New Roman" w:eastAsia="Times New Roman" w:hAnsi="Times New Roman" w:cs="Times New Roman"/>
          <w:sz w:val="24"/>
          <w:szCs w:val="24"/>
          <w:lang w:eastAsia="es-MX"/>
        </w:rPr>
        <w:t xml:space="preserve">El Anteproyecto modifica el régimen para que solamente se puedan llevar a cabo operaciones no presenciales </w:t>
      </w:r>
      <w:r w:rsidR="0078415D" w:rsidRPr="00031961">
        <w:rPr>
          <w:rFonts w:ascii="Times New Roman" w:eastAsia="Times New Roman" w:hAnsi="Times New Roman" w:cs="Times New Roman"/>
          <w:sz w:val="24"/>
          <w:szCs w:val="24"/>
          <w:lang w:eastAsia="es-MX"/>
        </w:rPr>
        <w:t>con personas</w:t>
      </w:r>
      <w:r w:rsidR="009A4656" w:rsidRPr="00031961">
        <w:rPr>
          <w:rFonts w:ascii="Times New Roman" w:eastAsia="Times New Roman" w:hAnsi="Times New Roman" w:cs="Times New Roman"/>
          <w:sz w:val="24"/>
          <w:szCs w:val="24"/>
          <w:lang w:eastAsia="es-MX"/>
        </w:rPr>
        <w:t xml:space="preserve"> físicas y morales de nacionalidad mexicana.</w:t>
      </w:r>
    </w:p>
    <w:p w14:paraId="3D2898A9" w14:textId="77777777" w:rsidR="00D97E30" w:rsidRDefault="00D97E30" w:rsidP="00D97E30">
      <w:pPr>
        <w:spacing w:after="0" w:line="276" w:lineRule="auto"/>
        <w:ind w:firstLine="426"/>
        <w:jc w:val="both"/>
        <w:rPr>
          <w:rFonts w:ascii="Times New Roman" w:eastAsia="Times New Roman" w:hAnsi="Times New Roman" w:cs="Times New Roman"/>
          <w:sz w:val="24"/>
          <w:szCs w:val="24"/>
          <w:lang w:eastAsia="es-MX"/>
        </w:rPr>
      </w:pPr>
    </w:p>
    <w:p w14:paraId="3EA2D8AF" w14:textId="0435C8F4" w:rsidR="00545DF4" w:rsidRPr="002B1520" w:rsidRDefault="00D97E30" w:rsidP="00D97E30">
      <w:pPr>
        <w:spacing w:after="0" w:line="276" w:lineRule="auto"/>
        <w:ind w:firstLine="426"/>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C</w:t>
      </w:r>
      <w:r w:rsidR="00545DF4" w:rsidRPr="002B1520">
        <w:rPr>
          <w:rFonts w:ascii="Times New Roman" w:eastAsia="Times New Roman" w:hAnsi="Times New Roman" w:cs="Times New Roman"/>
          <w:sz w:val="24"/>
          <w:szCs w:val="24"/>
          <w:lang w:eastAsia="es-MX"/>
        </w:rPr>
        <w:t>ontinúa</w:t>
      </w:r>
      <w:r w:rsidR="00B16265" w:rsidRPr="002B1520">
        <w:rPr>
          <w:rFonts w:ascii="Times New Roman" w:eastAsia="Times New Roman" w:hAnsi="Times New Roman" w:cs="Times New Roman"/>
          <w:sz w:val="24"/>
          <w:szCs w:val="24"/>
          <w:lang w:eastAsia="es-MX"/>
        </w:rPr>
        <w:t xml:space="preserve"> la obligación para la CNBV de </w:t>
      </w:r>
      <w:r w:rsidR="004D294B" w:rsidRPr="002B1520">
        <w:rPr>
          <w:rFonts w:ascii="Times New Roman" w:eastAsia="Times New Roman" w:hAnsi="Times New Roman" w:cs="Times New Roman"/>
          <w:sz w:val="24"/>
          <w:szCs w:val="24"/>
          <w:lang w:eastAsia="es-MX"/>
        </w:rPr>
        <w:t>emitir disposiciones de carácter general que regulen los mecanismos tecnológicos para la apertura de cuentas y celebración de contratos no presenciales.</w:t>
      </w:r>
    </w:p>
    <w:p w14:paraId="650D3DE0" w14:textId="1C2FDC2E" w:rsidR="00545DF4" w:rsidRPr="004F7CF0" w:rsidRDefault="0008626B" w:rsidP="0078415D">
      <w:pPr>
        <w:pStyle w:val="Prrafodelista"/>
        <w:spacing w:after="0" w:line="276" w:lineRule="auto"/>
        <w:ind w:left="426"/>
        <w:jc w:val="both"/>
        <w:rPr>
          <w:rFonts w:ascii="Times New Roman" w:eastAsia="Times New Roman" w:hAnsi="Times New Roman" w:cs="Times New Roman"/>
          <w:sz w:val="24"/>
          <w:szCs w:val="24"/>
          <w:lang w:eastAsia="es-MX"/>
        </w:rPr>
      </w:pPr>
      <w:r w:rsidRPr="004F7CF0">
        <w:rPr>
          <w:rFonts w:ascii="Times New Roman" w:eastAsia="Times New Roman" w:hAnsi="Times New Roman" w:cs="Times New Roman"/>
          <w:sz w:val="24"/>
          <w:szCs w:val="24"/>
          <w:lang w:eastAsia="es-MX"/>
        </w:rPr>
        <w:t xml:space="preserve"> </w:t>
      </w:r>
    </w:p>
    <w:p w14:paraId="314CB8F8" w14:textId="4C2BCFC0" w:rsidR="007F5310" w:rsidRPr="002B1520" w:rsidRDefault="00A7293E" w:rsidP="00D97E30">
      <w:pPr>
        <w:spacing w:after="0" w:line="276" w:lineRule="auto"/>
        <w:ind w:firstLine="426"/>
        <w:jc w:val="both"/>
        <w:rPr>
          <w:rFonts w:ascii="Times New Roman" w:eastAsia="Times New Roman" w:hAnsi="Times New Roman" w:cs="Times New Roman"/>
          <w:sz w:val="24"/>
          <w:szCs w:val="24"/>
          <w:lang w:eastAsia="es-MX"/>
        </w:rPr>
      </w:pPr>
      <w:r w:rsidRPr="002B1520">
        <w:rPr>
          <w:rFonts w:ascii="Times New Roman" w:eastAsia="Times New Roman" w:hAnsi="Times New Roman" w:cs="Times New Roman"/>
          <w:sz w:val="24"/>
          <w:szCs w:val="24"/>
          <w:lang w:eastAsia="es-MX"/>
        </w:rPr>
        <w:t>L</w:t>
      </w:r>
      <w:r w:rsidR="00545DF4" w:rsidRPr="002B1520">
        <w:rPr>
          <w:rFonts w:ascii="Times New Roman" w:eastAsia="Times New Roman" w:hAnsi="Times New Roman" w:cs="Times New Roman"/>
          <w:sz w:val="24"/>
          <w:szCs w:val="24"/>
          <w:lang w:eastAsia="es-MX"/>
        </w:rPr>
        <w:t xml:space="preserve">as Disposiciones vigentes establecen la posibilidad, para cuentas </w:t>
      </w:r>
      <w:r w:rsidR="00021864" w:rsidRPr="002B1520">
        <w:rPr>
          <w:rFonts w:ascii="Times New Roman" w:eastAsia="Times New Roman" w:hAnsi="Times New Roman" w:cs="Times New Roman"/>
          <w:sz w:val="24"/>
          <w:szCs w:val="24"/>
          <w:lang w:eastAsia="es-MX"/>
        </w:rPr>
        <w:t>N</w:t>
      </w:r>
      <w:r w:rsidR="00545DF4" w:rsidRPr="002B1520">
        <w:rPr>
          <w:rFonts w:ascii="Times New Roman" w:eastAsia="Times New Roman" w:hAnsi="Times New Roman" w:cs="Times New Roman"/>
          <w:sz w:val="24"/>
          <w:szCs w:val="24"/>
          <w:lang w:eastAsia="es-MX"/>
        </w:rPr>
        <w:t>ivel 1 y 2, de sustituir la entrevista para la apertura de una cuenta, con la captura y validación de ciertos datos</w:t>
      </w:r>
      <w:r w:rsidR="00BC1242" w:rsidRPr="002B1520">
        <w:rPr>
          <w:rFonts w:ascii="Times New Roman" w:eastAsia="Times New Roman" w:hAnsi="Times New Roman" w:cs="Times New Roman"/>
          <w:sz w:val="24"/>
          <w:szCs w:val="24"/>
          <w:lang w:eastAsia="es-MX"/>
        </w:rPr>
        <w:t>, mediante una consulta en el Registro Nacional de Población (</w:t>
      </w:r>
      <w:r w:rsidR="00545DF4" w:rsidRPr="002B1520">
        <w:rPr>
          <w:rFonts w:ascii="Times New Roman" w:eastAsia="Times New Roman" w:hAnsi="Times New Roman" w:cs="Times New Roman"/>
          <w:sz w:val="24"/>
          <w:szCs w:val="24"/>
          <w:lang w:eastAsia="es-MX"/>
        </w:rPr>
        <w:t xml:space="preserve">CURP, nombre, fecha y entidad de nacimiento). El Anteproyecto </w:t>
      </w:r>
      <w:r w:rsidR="00021864" w:rsidRPr="002B1520">
        <w:rPr>
          <w:rFonts w:ascii="Times New Roman" w:eastAsia="Times New Roman" w:hAnsi="Times New Roman" w:cs="Times New Roman"/>
          <w:sz w:val="24"/>
          <w:szCs w:val="24"/>
          <w:lang w:eastAsia="es-MX"/>
        </w:rPr>
        <w:t>suma</w:t>
      </w:r>
      <w:r w:rsidR="007F5310" w:rsidRPr="002B1520">
        <w:rPr>
          <w:rFonts w:ascii="Times New Roman" w:eastAsia="Times New Roman" w:hAnsi="Times New Roman" w:cs="Times New Roman"/>
          <w:sz w:val="24"/>
          <w:szCs w:val="24"/>
          <w:lang w:eastAsia="es-MX"/>
        </w:rPr>
        <w:t xml:space="preserve"> </w:t>
      </w:r>
      <w:r w:rsidR="009A4656" w:rsidRPr="002B1520">
        <w:rPr>
          <w:rFonts w:ascii="Times New Roman" w:eastAsia="Times New Roman" w:hAnsi="Times New Roman" w:cs="Times New Roman"/>
          <w:sz w:val="24"/>
          <w:szCs w:val="24"/>
          <w:lang w:eastAsia="es-MX"/>
        </w:rPr>
        <w:t>el requisito de</w:t>
      </w:r>
      <w:r w:rsidR="00021864" w:rsidRPr="002B1520">
        <w:rPr>
          <w:rFonts w:ascii="Times New Roman" w:eastAsia="Times New Roman" w:hAnsi="Times New Roman" w:cs="Times New Roman"/>
          <w:sz w:val="24"/>
          <w:szCs w:val="24"/>
          <w:lang w:eastAsia="es-MX"/>
        </w:rPr>
        <w:t xml:space="preserve"> valida</w:t>
      </w:r>
      <w:r w:rsidR="009A4656" w:rsidRPr="002B1520">
        <w:rPr>
          <w:rFonts w:ascii="Times New Roman" w:eastAsia="Times New Roman" w:hAnsi="Times New Roman" w:cs="Times New Roman"/>
          <w:sz w:val="24"/>
          <w:szCs w:val="24"/>
          <w:lang w:eastAsia="es-MX"/>
        </w:rPr>
        <w:t xml:space="preserve">r </w:t>
      </w:r>
      <w:r w:rsidR="00021864" w:rsidRPr="002B1520">
        <w:rPr>
          <w:rFonts w:ascii="Times New Roman" w:eastAsia="Times New Roman" w:hAnsi="Times New Roman" w:cs="Times New Roman"/>
          <w:sz w:val="24"/>
          <w:szCs w:val="24"/>
          <w:lang w:eastAsia="es-MX"/>
        </w:rPr>
        <w:t xml:space="preserve">el </w:t>
      </w:r>
      <w:r w:rsidR="007F5310" w:rsidRPr="002B1520">
        <w:rPr>
          <w:rFonts w:ascii="Times New Roman" w:eastAsia="Times New Roman" w:hAnsi="Times New Roman" w:cs="Times New Roman"/>
          <w:sz w:val="24"/>
          <w:szCs w:val="24"/>
          <w:lang w:eastAsia="es-MX"/>
        </w:rPr>
        <w:t>teléfono móvil mediante un mecanismo alterno a aquél del cual fue proporcionado</w:t>
      </w:r>
      <w:r w:rsidR="009A4656" w:rsidRPr="002B1520">
        <w:rPr>
          <w:rFonts w:ascii="Times New Roman" w:eastAsia="Times New Roman" w:hAnsi="Times New Roman" w:cs="Times New Roman"/>
          <w:sz w:val="24"/>
          <w:szCs w:val="24"/>
          <w:lang w:eastAsia="es-MX"/>
        </w:rPr>
        <w:t>.</w:t>
      </w:r>
      <w:r w:rsidR="006B1554" w:rsidRPr="006B1554">
        <w:t xml:space="preserve"> </w:t>
      </w:r>
    </w:p>
    <w:p w14:paraId="5EDE8182" w14:textId="77777777" w:rsidR="004D294B" w:rsidRDefault="004D294B" w:rsidP="00021864">
      <w:pPr>
        <w:pStyle w:val="Prrafodelista"/>
        <w:spacing w:after="0" w:line="276" w:lineRule="auto"/>
        <w:ind w:left="426"/>
        <w:jc w:val="both"/>
        <w:rPr>
          <w:rFonts w:ascii="Times New Roman" w:eastAsia="Times New Roman" w:hAnsi="Times New Roman" w:cs="Times New Roman"/>
          <w:sz w:val="24"/>
          <w:szCs w:val="24"/>
          <w:lang w:eastAsia="es-MX"/>
        </w:rPr>
      </w:pPr>
    </w:p>
    <w:p w14:paraId="5A88E3F1" w14:textId="77777777" w:rsidR="002C0AE5" w:rsidRPr="00D97E30" w:rsidRDefault="00021864" w:rsidP="00D97E30">
      <w:pPr>
        <w:spacing w:after="0" w:line="276" w:lineRule="auto"/>
        <w:ind w:firstLine="426"/>
        <w:jc w:val="both"/>
        <w:rPr>
          <w:rFonts w:ascii="Times New Roman" w:eastAsia="Times New Roman" w:hAnsi="Times New Roman" w:cs="Times New Roman"/>
          <w:sz w:val="24"/>
          <w:szCs w:val="24"/>
          <w:lang w:eastAsia="es-MX"/>
        </w:rPr>
      </w:pPr>
      <w:r w:rsidRPr="00D97E30">
        <w:rPr>
          <w:rFonts w:ascii="Times New Roman" w:eastAsia="Times New Roman" w:hAnsi="Times New Roman" w:cs="Times New Roman"/>
          <w:sz w:val="24"/>
          <w:szCs w:val="24"/>
          <w:lang w:eastAsia="es-MX"/>
        </w:rPr>
        <w:lastRenderedPageBreak/>
        <w:t xml:space="preserve">Para cuentas Nivel 3, además de lo anterior, las Instituciones deberán validar la credencial para votar o pasaporte directamente con el INE/SRE o con una autoridad mexicana que provea servicios de verificación digital. </w:t>
      </w:r>
    </w:p>
    <w:p w14:paraId="6B907BA5" w14:textId="77777777" w:rsidR="002C0AE5" w:rsidRDefault="002C0AE5" w:rsidP="00021864">
      <w:pPr>
        <w:pStyle w:val="Prrafodelista"/>
        <w:spacing w:after="0" w:line="276" w:lineRule="auto"/>
        <w:ind w:left="426"/>
        <w:jc w:val="both"/>
        <w:rPr>
          <w:rFonts w:ascii="Times New Roman" w:eastAsia="Times New Roman" w:hAnsi="Times New Roman" w:cs="Times New Roman"/>
          <w:sz w:val="24"/>
          <w:szCs w:val="24"/>
          <w:lang w:eastAsia="es-MX"/>
        </w:rPr>
      </w:pPr>
    </w:p>
    <w:p w14:paraId="04BAE0C2" w14:textId="3BB3E334" w:rsidR="00021864" w:rsidRPr="00D97E30" w:rsidRDefault="00405326" w:rsidP="00D97E30">
      <w:pPr>
        <w:spacing w:after="0" w:line="276" w:lineRule="auto"/>
        <w:ind w:firstLine="426"/>
        <w:jc w:val="both"/>
        <w:rPr>
          <w:rFonts w:ascii="Times New Roman" w:eastAsia="Times New Roman" w:hAnsi="Times New Roman" w:cs="Times New Roman"/>
          <w:sz w:val="24"/>
          <w:szCs w:val="24"/>
          <w:lang w:eastAsia="es-MX"/>
        </w:rPr>
      </w:pPr>
      <w:r w:rsidRPr="00D97E30">
        <w:rPr>
          <w:rFonts w:ascii="Times New Roman" w:eastAsia="Times New Roman" w:hAnsi="Times New Roman" w:cs="Times New Roman"/>
          <w:sz w:val="24"/>
          <w:szCs w:val="24"/>
          <w:lang w:eastAsia="es-MX"/>
        </w:rPr>
        <w:t xml:space="preserve">Tratándose de cuentas cuya operación se encuentre limitada a abonos de </w:t>
      </w:r>
      <w:r w:rsidR="00CA00DE" w:rsidRPr="00D97E30">
        <w:rPr>
          <w:rFonts w:ascii="Times New Roman" w:eastAsia="Times New Roman" w:hAnsi="Times New Roman" w:cs="Times New Roman"/>
          <w:sz w:val="24"/>
          <w:szCs w:val="24"/>
          <w:lang w:eastAsia="es-MX"/>
        </w:rPr>
        <w:t>hasta 30 mil UDIS para clientes personas físicas con actividad empresarial y personas morales,</w:t>
      </w:r>
      <w:r w:rsidR="00021864" w:rsidRPr="00D97E30">
        <w:rPr>
          <w:rFonts w:ascii="Times New Roman" w:eastAsia="Times New Roman" w:hAnsi="Times New Roman" w:cs="Times New Roman"/>
          <w:sz w:val="24"/>
          <w:szCs w:val="24"/>
          <w:lang w:eastAsia="es-MX"/>
        </w:rPr>
        <w:t xml:space="preserve"> </w:t>
      </w:r>
      <w:r w:rsidRPr="00D97E30">
        <w:rPr>
          <w:rFonts w:ascii="Times New Roman" w:eastAsia="Times New Roman" w:hAnsi="Times New Roman" w:cs="Times New Roman"/>
          <w:sz w:val="24"/>
          <w:szCs w:val="24"/>
          <w:lang w:eastAsia="es-MX"/>
        </w:rPr>
        <w:t>estos</w:t>
      </w:r>
      <w:r w:rsidR="00021864" w:rsidRPr="00D97E30">
        <w:rPr>
          <w:rFonts w:ascii="Times New Roman" w:eastAsia="Times New Roman" w:hAnsi="Times New Roman" w:cs="Times New Roman"/>
          <w:sz w:val="24"/>
          <w:szCs w:val="24"/>
          <w:lang w:eastAsia="es-MX"/>
        </w:rPr>
        <w:t xml:space="preserve"> deberán consentir con su Firma Electrónica Avanzada, y las Instituciones deberán validar (previo o posterior a la contratación, pero siempre antes del inicio de operaciones) que realizan actividades propias del negocio</w:t>
      </w:r>
      <w:r w:rsidR="00BC1242" w:rsidRPr="00D97E30">
        <w:rPr>
          <w:rFonts w:ascii="Times New Roman" w:eastAsia="Times New Roman" w:hAnsi="Times New Roman" w:cs="Times New Roman"/>
          <w:sz w:val="24"/>
          <w:szCs w:val="24"/>
          <w:lang w:eastAsia="es-MX"/>
        </w:rPr>
        <w:t xml:space="preserve"> </w:t>
      </w:r>
      <w:r w:rsidR="00CA00DE" w:rsidRPr="00D97E30">
        <w:rPr>
          <w:rFonts w:ascii="Times New Roman" w:eastAsia="Times New Roman" w:hAnsi="Times New Roman" w:cs="Times New Roman"/>
          <w:sz w:val="24"/>
          <w:szCs w:val="24"/>
          <w:lang w:eastAsia="es-MX"/>
        </w:rPr>
        <w:t>y/</w:t>
      </w:r>
      <w:r w:rsidR="00BC1242" w:rsidRPr="00D97E30">
        <w:rPr>
          <w:rFonts w:ascii="Times New Roman" w:eastAsia="Times New Roman" w:hAnsi="Times New Roman" w:cs="Times New Roman"/>
          <w:sz w:val="24"/>
          <w:szCs w:val="24"/>
          <w:lang w:eastAsia="es-MX"/>
        </w:rPr>
        <w:t>o qu</w:t>
      </w:r>
      <w:r w:rsidR="00021864" w:rsidRPr="00D97E30">
        <w:rPr>
          <w:rFonts w:ascii="Times New Roman" w:eastAsia="Times New Roman" w:hAnsi="Times New Roman" w:cs="Times New Roman"/>
          <w:sz w:val="24"/>
          <w:szCs w:val="24"/>
          <w:lang w:eastAsia="es-MX"/>
        </w:rPr>
        <w:t>e el representante cuenta con poderes</w:t>
      </w:r>
      <w:r w:rsidR="00BC1242" w:rsidRPr="00D97E30">
        <w:rPr>
          <w:rFonts w:ascii="Times New Roman" w:eastAsia="Times New Roman" w:hAnsi="Times New Roman" w:cs="Times New Roman"/>
          <w:sz w:val="24"/>
          <w:szCs w:val="24"/>
          <w:lang w:eastAsia="es-MX"/>
        </w:rPr>
        <w:t>.</w:t>
      </w:r>
    </w:p>
    <w:p w14:paraId="45B01CE1" w14:textId="77777777" w:rsidR="00021864" w:rsidRPr="006B1554" w:rsidRDefault="00021864" w:rsidP="00647891">
      <w:pPr>
        <w:spacing w:after="0" w:line="276" w:lineRule="auto"/>
        <w:jc w:val="both"/>
        <w:rPr>
          <w:rFonts w:ascii="Times New Roman" w:eastAsia="Times New Roman" w:hAnsi="Times New Roman" w:cs="Times New Roman"/>
          <w:sz w:val="24"/>
          <w:szCs w:val="24"/>
          <w:lang w:eastAsia="es-MX"/>
        </w:rPr>
      </w:pPr>
    </w:p>
    <w:p w14:paraId="1EC7DA97" w14:textId="7C8B7B6C" w:rsidR="00372BF2" w:rsidRPr="00D97E30" w:rsidRDefault="00D811B9" w:rsidP="00D97E30">
      <w:pPr>
        <w:spacing w:after="0" w:line="276" w:lineRule="auto"/>
        <w:ind w:firstLine="426"/>
        <w:jc w:val="both"/>
        <w:rPr>
          <w:rFonts w:ascii="Times New Roman" w:eastAsia="Times New Roman" w:hAnsi="Times New Roman" w:cs="Times New Roman"/>
          <w:sz w:val="24"/>
          <w:szCs w:val="24"/>
          <w:lang w:eastAsia="es-MX"/>
        </w:rPr>
      </w:pPr>
      <w:r w:rsidRPr="00D97E30">
        <w:rPr>
          <w:rFonts w:ascii="Times New Roman" w:eastAsia="Times New Roman" w:hAnsi="Times New Roman" w:cs="Times New Roman"/>
          <w:sz w:val="24"/>
          <w:szCs w:val="24"/>
          <w:lang w:eastAsia="es-MX"/>
        </w:rPr>
        <w:t>Las Instituciones</w:t>
      </w:r>
      <w:r w:rsidR="00A96928" w:rsidRPr="00D97E30">
        <w:rPr>
          <w:rFonts w:ascii="Times New Roman" w:eastAsia="Times New Roman" w:hAnsi="Times New Roman" w:cs="Times New Roman"/>
          <w:sz w:val="24"/>
          <w:szCs w:val="24"/>
          <w:lang w:eastAsia="es-MX"/>
        </w:rPr>
        <w:t xml:space="preserve"> deberán conservar todos los documentos digitales de conformidad con la NOM-151-SCFI, que es la norma oficial mexicana sobre digitalización y conservación de mensajes de datos.</w:t>
      </w:r>
    </w:p>
    <w:p w14:paraId="2B6B3DBA" w14:textId="77777777" w:rsidR="00D97E30" w:rsidRDefault="00D97E30" w:rsidP="00D97E30">
      <w:pPr>
        <w:spacing w:after="0" w:line="276" w:lineRule="auto"/>
        <w:ind w:firstLine="426"/>
        <w:jc w:val="both"/>
        <w:rPr>
          <w:rFonts w:ascii="Times New Roman" w:eastAsia="Times New Roman" w:hAnsi="Times New Roman" w:cs="Times New Roman"/>
          <w:sz w:val="24"/>
          <w:szCs w:val="24"/>
          <w:lang w:eastAsia="es-MX"/>
        </w:rPr>
      </w:pPr>
    </w:p>
    <w:p w14:paraId="363419C9" w14:textId="4F23CC8E" w:rsidR="00FD700C" w:rsidRPr="00D97E30" w:rsidRDefault="00FD700C" w:rsidP="00D97E30">
      <w:pPr>
        <w:spacing w:after="0" w:line="276" w:lineRule="auto"/>
        <w:ind w:firstLine="426"/>
        <w:jc w:val="both"/>
        <w:rPr>
          <w:rFonts w:ascii="Times New Roman" w:eastAsia="Times New Roman" w:hAnsi="Times New Roman" w:cs="Times New Roman"/>
          <w:sz w:val="24"/>
          <w:szCs w:val="24"/>
          <w:lang w:eastAsia="es-MX"/>
        </w:rPr>
      </w:pPr>
      <w:r w:rsidRPr="00D97E30">
        <w:rPr>
          <w:rFonts w:ascii="Times New Roman" w:eastAsia="Times New Roman" w:hAnsi="Times New Roman" w:cs="Times New Roman"/>
          <w:sz w:val="24"/>
          <w:szCs w:val="24"/>
          <w:lang w:eastAsia="es-MX"/>
        </w:rPr>
        <w:t xml:space="preserve">Se homologa con el resto de las </w:t>
      </w:r>
      <w:r w:rsidR="00021864" w:rsidRPr="00D97E30">
        <w:rPr>
          <w:rFonts w:ascii="Times New Roman" w:eastAsia="Times New Roman" w:hAnsi="Times New Roman" w:cs="Times New Roman"/>
          <w:sz w:val="24"/>
          <w:szCs w:val="24"/>
          <w:lang w:eastAsia="es-MX"/>
        </w:rPr>
        <w:t>D</w:t>
      </w:r>
      <w:r w:rsidRPr="00D97E30">
        <w:rPr>
          <w:rFonts w:ascii="Times New Roman" w:eastAsia="Times New Roman" w:hAnsi="Times New Roman" w:cs="Times New Roman"/>
          <w:sz w:val="24"/>
          <w:szCs w:val="24"/>
          <w:lang w:eastAsia="es-MX"/>
        </w:rPr>
        <w:t>isposiciones que el consentimiento puede obtenerse con firma electrónica o firma electrónica avanzad</w:t>
      </w:r>
      <w:r w:rsidR="00021864" w:rsidRPr="00D97E30">
        <w:rPr>
          <w:rFonts w:ascii="Times New Roman" w:eastAsia="Times New Roman" w:hAnsi="Times New Roman" w:cs="Times New Roman"/>
          <w:sz w:val="24"/>
          <w:szCs w:val="24"/>
          <w:lang w:eastAsia="es-MX"/>
        </w:rPr>
        <w:t>a.</w:t>
      </w:r>
    </w:p>
    <w:p w14:paraId="09B06748" w14:textId="77777777" w:rsidR="00372BF2" w:rsidRPr="00372BF2" w:rsidRDefault="00372BF2" w:rsidP="00372BF2">
      <w:pPr>
        <w:spacing w:after="0" w:line="276" w:lineRule="auto"/>
        <w:ind w:left="142"/>
        <w:rPr>
          <w:rFonts w:ascii="Times New Roman" w:hAnsi="Times New Roman" w:cs="Times New Roman"/>
          <w:b/>
          <w:bCs/>
          <w:sz w:val="24"/>
          <w:szCs w:val="24"/>
        </w:rPr>
      </w:pPr>
    </w:p>
    <w:p w14:paraId="54CB1B7A" w14:textId="6D84BA13" w:rsidR="00A96928" w:rsidRPr="004F7CF0" w:rsidRDefault="00D811B9" w:rsidP="00274FDD">
      <w:pPr>
        <w:pStyle w:val="Prrafodelista"/>
        <w:numPr>
          <w:ilvl w:val="0"/>
          <w:numId w:val="15"/>
        </w:numPr>
        <w:spacing w:after="0" w:line="276" w:lineRule="auto"/>
        <w:ind w:left="426" w:hanging="426"/>
        <w:rPr>
          <w:rFonts w:ascii="Times New Roman" w:hAnsi="Times New Roman" w:cs="Times New Roman"/>
          <w:b/>
          <w:bCs/>
          <w:sz w:val="24"/>
          <w:szCs w:val="24"/>
        </w:rPr>
      </w:pPr>
      <w:r w:rsidRPr="004F7CF0">
        <w:rPr>
          <w:rFonts w:ascii="Times New Roman" w:hAnsi="Times New Roman" w:cs="Times New Roman"/>
          <w:b/>
          <w:bCs/>
          <w:sz w:val="24"/>
          <w:szCs w:val="24"/>
        </w:rPr>
        <w:t>Cuentas concentradoras y cuentas de la propia Institución.</w:t>
      </w:r>
    </w:p>
    <w:p w14:paraId="416E8E11" w14:textId="77777777" w:rsidR="00A96928" w:rsidRPr="004F7CF0" w:rsidRDefault="00A96928" w:rsidP="00A96928">
      <w:pPr>
        <w:spacing w:after="0" w:line="276" w:lineRule="auto"/>
        <w:jc w:val="both"/>
        <w:rPr>
          <w:rFonts w:ascii="Times New Roman" w:hAnsi="Times New Roman" w:cs="Times New Roman"/>
          <w:sz w:val="24"/>
          <w:szCs w:val="24"/>
        </w:rPr>
      </w:pPr>
    </w:p>
    <w:p w14:paraId="1040D25D" w14:textId="1572E103" w:rsidR="00A96928" w:rsidRPr="00D97E30" w:rsidRDefault="009061D3" w:rsidP="009061D3">
      <w:pPr>
        <w:spacing w:after="0" w:line="276" w:lineRule="auto"/>
        <w:ind w:firstLine="426"/>
        <w:jc w:val="both"/>
        <w:rPr>
          <w:rFonts w:ascii="Times New Roman" w:hAnsi="Times New Roman" w:cs="Times New Roman"/>
          <w:sz w:val="24"/>
          <w:szCs w:val="24"/>
        </w:rPr>
      </w:pPr>
      <w:r>
        <w:rPr>
          <w:rFonts w:ascii="Times New Roman" w:hAnsi="Times New Roman" w:cs="Times New Roman"/>
          <w:sz w:val="24"/>
          <w:szCs w:val="24"/>
        </w:rPr>
        <w:t>E</w:t>
      </w:r>
      <w:r w:rsidR="00D811B9" w:rsidRPr="00D97E30">
        <w:rPr>
          <w:rFonts w:ascii="Times New Roman" w:hAnsi="Times New Roman" w:cs="Times New Roman"/>
          <w:sz w:val="24"/>
          <w:szCs w:val="24"/>
        </w:rPr>
        <w:t xml:space="preserve">l Anteproyecto </w:t>
      </w:r>
      <w:r w:rsidR="009A4656" w:rsidRPr="00D97E30">
        <w:rPr>
          <w:rFonts w:ascii="Times New Roman" w:hAnsi="Times New Roman" w:cs="Times New Roman"/>
          <w:sz w:val="24"/>
          <w:szCs w:val="24"/>
        </w:rPr>
        <w:t>suma un nuevo reporte a presentar ante la Secretaría de Hacienda y Crédito Público: todas las</w:t>
      </w:r>
      <w:r w:rsidR="00D811B9" w:rsidRPr="00D97E30">
        <w:rPr>
          <w:rFonts w:ascii="Times New Roman" w:hAnsi="Times New Roman" w:cs="Times New Roman"/>
          <w:sz w:val="24"/>
          <w:szCs w:val="24"/>
        </w:rPr>
        <w:t xml:space="preserve"> transferencias internacionales relacionadas con </w:t>
      </w:r>
      <w:r w:rsidR="009A4656" w:rsidRPr="00D97E30">
        <w:rPr>
          <w:rFonts w:ascii="Times New Roman" w:hAnsi="Times New Roman" w:cs="Times New Roman"/>
          <w:sz w:val="24"/>
          <w:szCs w:val="24"/>
        </w:rPr>
        <w:t xml:space="preserve">las </w:t>
      </w:r>
      <w:r w:rsidR="00D811B9" w:rsidRPr="00D97E30">
        <w:rPr>
          <w:rFonts w:ascii="Times New Roman" w:hAnsi="Times New Roman" w:cs="Times New Roman"/>
          <w:sz w:val="24"/>
          <w:szCs w:val="24"/>
        </w:rPr>
        <w:t>cuenta</w:t>
      </w:r>
      <w:r w:rsidR="00647891" w:rsidRPr="00D97E30">
        <w:rPr>
          <w:rFonts w:ascii="Times New Roman" w:hAnsi="Times New Roman" w:cs="Times New Roman"/>
          <w:sz w:val="24"/>
          <w:szCs w:val="24"/>
        </w:rPr>
        <w:t>s</w:t>
      </w:r>
      <w:r w:rsidR="00D811B9" w:rsidRPr="00D97E30">
        <w:rPr>
          <w:rFonts w:ascii="Times New Roman" w:hAnsi="Times New Roman" w:cs="Times New Roman"/>
          <w:sz w:val="24"/>
          <w:szCs w:val="24"/>
        </w:rPr>
        <w:t xml:space="preserve"> concentradora</w:t>
      </w:r>
      <w:r w:rsidR="00647891" w:rsidRPr="00D97E30">
        <w:rPr>
          <w:rFonts w:ascii="Times New Roman" w:hAnsi="Times New Roman" w:cs="Times New Roman"/>
          <w:sz w:val="24"/>
          <w:szCs w:val="24"/>
        </w:rPr>
        <w:t>s</w:t>
      </w:r>
      <w:r w:rsidR="009A4656" w:rsidRPr="00D97E30">
        <w:rPr>
          <w:rFonts w:ascii="Times New Roman" w:hAnsi="Times New Roman" w:cs="Times New Roman"/>
          <w:sz w:val="24"/>
          <w:szCs w:val="24"/>
        </w:rPr>
        <w:t xml:space="preserve"> de las cuales las Instituciones sean titulares y en las que intervengan sus clientes, directivos, funcionarios, empleados o apoderados. </w:t>
      </w:r>
    </w:p>
    <w:p w14:paraId="638DA6F5" w14:textId="77777777" w:rsidR="009A4656" w:rsidRPr="004F7CF0" w:rsidRDefault="009A4656" w:rsidP="00647891">
      <w:pPr>
        <w:pStyle w:val="Prrafodelista"/>
        <w:spacing w:after="0" w:line="276" w:lineRule="auto"/>
        <w:ind w:left="426"/>
        <w:jc w:val="both"/>
        <w:rPr>
          <w:rFonts w:ascii="Times New Roman" w:hAnsi="Times New Roman" w:cs="Times New Roman"/>
          <w:sz w:val="24"/>
          <w:szCs w:val="24"/>
        </w:rPr>
      </w:pPr>
    </w:p>
    <w:p w14:paraId="2587E3C5" w14:textId="2FA923E2" w:rsidR="00D811B9" w:rsidRPr="009061D3" w:rsidRDefault="009061D3" w:rsidP="009061D3">
      <w:pPr>
        <w:spacing w:after="0" w:line="276" w:lineRule="auto"/>
        <w:ind w:firstLine="426"/>
        <w:jc w:val="both"/>
        <w:rPr>
          <w:rFonts w:ascii="Times New Roman" w:hAnsi="Times New Roman" w:cs="Times New Roman"/>
          <w:sz w:val="24"/>
          <w:szCs w:val="24"/>
        </w:rPr>
      </w:pPr>
      <w:r>
        <w:rPr>
          <w:rFonts w:ascii="Times New Roman" w:hAnsi="Times New Roman" w:cs="Times New Roman"/>
          <w:sz w:val="24"/>
          <w:szCs w:val="24"/>
        </w:rPr>
        <w:t>S</w:t>
      </w:r>
      <w:r w:rsidR="007F5310" w:rsidRPr="009061D3">
        <w:rPr>
          <w:rFonts w:ascii="Times New Roman" w:hAnsi="Times New Roman" w:cs="Times New Roman"/>
          <w:sz w:val="24"/>
          <w:szCs w:val="24"/>
        </w:rPr>
        <w:t xml:space="preserve">e adiciona un nuevo artículo que obliga a las Instituciones a desarrollar políticas, procesos y procedimientos en su </w:t>
      </w:r>
      <w:r w:rsidR="005220A7" w:rsidRPr="009061D3">
        <w:rPr>
          <w:rFonts w:ascii="Times New Roman" w:hAnsi="Times New Roman" w:cs="Times New Roman"/>
          <w:sz w:val="24"/>
          <w:szCs w:val="24"/>
        </w:rPr>
        <w:t>m</w:t>
      </w:r>
      <w:r w:rsidR="007F5310" w:rsidRPr="009061D3">
        <w:rPr>
          <w:rFonts w:ascii="Times New Roman" w:hAnsi="Times New Roman" w:cs="Times New Roman"/>
          <w:sz w:val="24"/>
          <w:szCs w:val="24"/>
        </w:rPr>
        <w:t xml:space="preserve">anual de </w:t>
      </w:r>
      <w:r w:rsidR="005220A7" w:rsidRPr="009061D3">
        <w:rPr>
          <w:rFonts w:ascii="Times New Roman" w:hAnsi="Times New Roman" w:cs="Times New Roman"/>
          <w:sz w:val="24"/>
          <w:szCs w:val="24"/>
        </w:rPr>
        <w:t>c</w:t>
      </w:r>
      <w:r w:rsidR="007F5310" w:rsidRPr="009061D3">
        <w:rPr>
          <w:rFonts w:ascii="Times New Roman" w:hAnsi="Times New Roman" w:cs="Times New Roman"/>
          <w:sz w:val="24"/>
          <w:szCs w:val="24"/>
        </w:rPr>
        <w:t>umplimiento para garantizar que las cuentas que internamente se abran en las propias Instituciones para fines administrativos no sean operadas por los clientes, o se realicen operaciones instruidas por sus clientes sin que conste registro de dicha instrucción.</w:t>
      </w:r>
    </w:p>
    <w:p w14:paraId="157BB3F8" w14:textId="77777777" w:rsidR="009A4656" w:rsidRDefault="009A4656" w:rsidP="006B1554">
      <w:pPr>
        <w:spacing w:after="0" w:line="276" w:lineRule="auto"/>
        <w:jc w:val="both"/>
        <w:rPr>
          <w:rFonts w:ascii="Times New Roman" w:hAnsi="Times New Roman" w:cs="Times New Roman"/>
          <w:sz w:val="24"/>
          <w:szCs w:val="24"/>
        </w:rPr>
      </w:pPr>
    </w:p>
    <w:p w14:paraId="4C6918E4" w14:textId="1DB89F93" w:rsidR="004D294B" w:rsidRPr="004F7CF0" w:rsidRDefault="00D03CB4" w:rsidP="00274FDD">
      <w:pPr>
        <w:pStyle w:val="Prrafodelista"/>
        <w:numPr>
          <w:ilvl w:val="0"/>
          <w:numId w:val="15"/>
        </w:numPr>
        <w:spacing w:after="0" w:line="276" w:lineRule="auto"/>
        <w:ind w:left="426" w:hanging="426"/>
        <w:rPr>
          <w:rFonts w:ascii="Times New Roman" w:hAnsi="Times New Roman" w:cs="Times New Roman"/>
          <w:b/>
          <w:bCs/>
          <w:sz w:val="24"/>
          <w:szCs w:val="24"/>
        </w:rPr>
      </w:pPr>
      <w:r w:rsidRPr="004F7CF0">
        <w:rPr>
          <w:rFonts w:ascii="Times New Roman" w:hAnsi="Times New Roman" w:cs="Times New Roman"/>
          <w:b/>
          <w:bCs/>
          <w:sz w:val="24"/>
          <w:szCs w:val="24"/>
        </w:rPr>
        <w:t>Estruc</w:t>
      </w:r>
      <w:r w:rsidR="006439C5" w:rsidRPr="004F7CF0">
        <w:rPr>
          <w:rFonts w:ascii="Times New Roman" w:hAnsi="Times New Roman" w:cs="Times New Roman"/>
          <w:b/>
          <w:bCs/>
          <w:sz w:val="24"/>
          <w:szCs w:val="24"/>
        </w:rPr>
        <w:t>t</w:t>
      </w:r>
      <w:r w:rsidRPr="004F7CF0">
        <w:rPr>
          <w:rFonts w:ascii="Times New Roman" w:hAnsi="Times New Roman" w:cs="Times New Roman"/>
          <w:b/>
          <w:bCs/>
          <w:sz w:val="24"/>
          <w:szCs w:val="24"/>
        </w:rPr>
        <w:t>uras internas</w:t>
      </w:r>
    </w:p>
    <w:p w14:paraId="2790B9AA" w14:textId="77777777" w:rsidR="003B1A1C" w:rsidRPr="004F7CF0" w:rsidRDefault="003B1A1C" w:rsidP="004D294B">
      <w:pPr>
        <w:spacing w:after="0" w:line="276" w:lineRule="auto"/>
        <w:rPr>
          <w:rFonts w:ascii="Times New Roman" w:eastAsia="Times New Roman" w:hAnsi="Times New Roman" w:cs="Times New Roman"/>
          <w:sz w:val="24"/>
          <w:szCs w:val="24"/>
          <w:lang w:eastAsia="es-MX"/>
        </w:rPr>
      </w:pPr>
    </w:p>
    <w:p w14:paraId="6F5EDA7A" w14:textId="7CD9D0E3" w:rsidR="002C7080" w:rsidRPr="004F7CF0" w:rsidRDefault="002C7080" w:rsidP="00A60602">
      <w:pPr>
        <w:pStyle w:val="Prrafodelista"/>
        <w:numPr>
          <w:ilvl w:val="0"/>
          <w:numId w:val="16"/>
        </w:numPr>
        <w:spacing w:after="0" w:line="276" w:lineRule="auto"/>
        <w:ind w:left="426" w:hanging="284"/>
        <w:jc w:val="both"/>
        <w:rPr>
          <w:rFonts w:ascii="Times New Roman" w:hAnsi="Times New Roman" w:cs="Times New Roman"/>
          <w:sz w:val="24"/>
          <w:szCs w:val="24"/>
        </w:rPr>
      </w:pPr>
      <w:r w:rsidRPr="004F7CF0">
        <w:rPr>
          <w:rFonts w:ascii="Times New Roman" w:hAnsi="Times New Roman" w:cs="Times New Roman"/>
          <w:sz w:val="24"/>
          <w:szCs w:val="24"/>
          <w:u w:val="single"/>
        </w:rPr>
        <w:lastRenderedPageBreak/>
        <w:t>Plazo sobre designación o revocación</w:t>
      </w:r>
      <w:r w:rsidRPr="004F7CF0">
        <w:rPr>
          <w:rFonts w:ascii="Times New Roman" w:hAnsi="Times New Roman" w:cs="Times New Roman"/>
          <w:sz w:val="24"/>
          <w:szCs w:val="24"/>
        </w:rPr>
        <w:t xml:space="preserve">: se modifica el plazo para comunicar a la CNBV sobre la designación y revocación del oficial de cumplimiento de un día hábil </w:t>
      </w:r>
      <w:r w:rsidR="004E2849" w:rsidRPr="004F7CF0">
        <w:rPr>
          <w:rFonts w:ascii="Times New Roman" w:hAnsi="Times New Roman" w:cs="Times New Roman"/>
          <w:sz w:val="24"/>
          <w:szCs w:val="24"/>
        </w:rPr>
        <w:t xml:space="preserve">y </w:t>
      </w:r>
      <w:r w:rsidRPr="004F7CF0">
        <w:rPr>
          <w:rFonts w:ascii="Times New Roman" w:hAnsi="Times New Roman" w:cs="Times New Roman"/>
          <w:sz w:val="24"/>
          <w:szCs w:val="24"/>
        </w:rPr>
        <w:t>tres</w:t>
      </w:r>
      <w:r w:rsidR="00871B47" w:rsidRPr="004F7CF0">
        <w:rPr>
          <w:rFonts w:ascii="Times New Roman" w:hAnsi="Times New Roman" w:cs="Times New Roman"/>
          <w:sz w:val="24"/>
          <w:szCs w:val="24"/>
        </w:rPr>
        <w:t xml:space="preserve"> respectivamente,</w:t>
      </w:r>
      <w:r w:rsidRPr="004F7CF0">
        <w:rPr>
          <w:rFonts w:ascii="Times New Roman" w:hAnsi="Times New Roman" w:cs="Times New Roman"/>
          <w:sz w:val="24"/>
          <w:szCs w:val="24"/>
        </w:rPr>
        <w:t xml:space="preserve"> a diez días hábiles</w:t>
      </w:r>
      <w:r w:rsidR="005220A7" w:rsidRPr="004F7CF0">
        <w:rPr>
          <w:rFonts w:ascii="Times New Roman" w:hAnsi="Times New Roman" w:cs="Times New Roman"/>
          <w:sz w:val="24"/>
          <w:szCs w:val="24"/>
        </w:rPr>
        <w:t xml:space="preserve"> siguientes a la fecha de designación o revocación</w:t>
      </w:r>
      <w:r w:rsidRPr="004F7CF0">
        <w:rPr>
          <w:rFonts w:ascii="Times New Roman" w:hAnsi="Times New Roman" w:cs="Times New Roman"/>
          <w:sz w:val="24"/>
          <w:szCs w:val="24"/>
        </w:rPr>
        <w:t xml:space="preserve">. </w:t>
      </w:r>
    </w:p>
    <w:p w14:paraId="462BE8B7" w14:textId="77777777" w:rsidR="002C7080" w:rsidRPr="004F7CF0" w:rsidRDefault="002C7080" w:rsidP="00A60602">
      <w:pPr>
        <w:pStyle w:val="Prrafodelista"/>
        <w:spacing w:after="0" w:line="276" w:lineRule="auto"/>
        <w:ind w:left="426"/>
        <w:jc w:val="both"/>
        <w:rPr>
          <w:rFonts w:ascii="Times New Roman" w:hAnsi="Times New Roman" w:cs="Times New Roman"/>
          <w:sz w:val="24"/>
          <w:szCs w:val="24"/>
        </w:rPr>
      </w:pPr>
    </w:p>
    <w:p w14:paraId="33D44657" w14:textId="2A62F8F2" w:rsidR="002C7080" w:rsidRDefault="00926F93" w:rsidP="00A60602">
      <w:pPr>
        <w:pStyle w:val="Prrafodelista"/>
        <w:numPr>
          <w:ilvl w:val="0"/>
          <w:numId w:val="16"/>
        </w:numPr>
        <w:spacing w:after="0" w:line="276" w:lineRule="auto"/>
        <w:ind w:left="426" w:hanging="284"/>
        <w:jc w:val="both"/>
        <w:rPr>
          <w:rFonts w:ascii="Times New Roman" w:hAnsi="Times New Roman" w:cs="Times New Roman"/>
          <w:sz w:val="24"/>
          <w:szCs w:val="24"/>
        </w:rPr>
      </w:pPr>
      <w:r>
        <w:rPr>
          <w:rFonts w:ascii="Times New Roman" w:hAnsi="Times New Roman" w:cs="Times New Roman"/>
          <w:sz w:val="24"/>
          <w:szCs w:val="24"/>
          <w:u w:val="single"/>
        </w:rPr>
        <w:t>Auditoría anual PLD/FT</w:t>
      </w:r>
      <w:r w:rsidR="00D03CB4" w:rsidRPr="004F7CF0">
        <w:rPr>
          <w:rFonts w:ascii="Times New Roman" w:hAnsi="Times New Roman" w:cs="Times New Roman"/>
          <w:sz w:val="24"/>
          <w:szCs w:val="24"/>
        </w:rPr>
        <w:t xml:space="preserve">: </w:t>
      </w:r>
      <w:r w:rsidR="002C7080" w:rsidRPr="004F7CF0">
        <w:rPr>
          <w:rFonts w:ascii="Times New Roman" w:hAnsi="Times New Roman" w:cs="Times New Roman"/>
          <w:sz w:val="24"/>
          <w:szCs w:val="24"/>
        </w:rPr>
        <w:t>el auditor que realice la auditoría interna</w:t>
      </w:r>
      <w:r w:rsidR="005220A7" w:rsidRPr="004F7CF0">
        <w:rPr>
          <w:rFonts w:ascii="Times New Roman" w:hAnsi="Times New Roman" w:cs="Times New Roman"/>
          <w:sz w:val="24"/>
          <w:szCs w:val="24"/>
        </w:rPr>
        <w:t xml:space="preserve"> o externa</w:t>
      </w:r>
      <w:r w:rsidR="002C7080" w:rsidRPr="004F7CF0">
        <w:rPr>
          <w:rFonts w:ascii="Times New Roman" w:hAnsi="Times New Roman" w:cs="Times New Roman"/>
          <w:sz w:val="24"/>
          <w:szCs w:val="24"/>
        </w:rPr>
        <w:t xml:space="preserve"> anual en PLD/FT deberá contar con la certificación de la CNBV.</w:t>
      </w:r>
    </w:p>
    <w:p w14:paraId="40254387" w14:textId="77777777" w:rsidR="00926F93" w:rsidRPr="00926F93" w:rsidRDefault="00926F93" w:rsidP="00926F93">
      <w:pPr>
        <w:pStyle w:val="Prrafodelista"/>
        <w:rPr>
          <w:rFonts w:ascii="Times New Roman" w:hAnsi="Times New Roman" w:cs="Times New Roman"/>
          <w:sz w:val="24"/>
          <w:szCs w:val="24"/>
        </w:rPr>
      </w:pPr>
    </w:p>
    <w:p w14:paraId="51F50748" w14:textId="6317EF9B" w:rsidR="00926F93" w:rsidRPr="004F7CF0" w:rsidRDefault="00926F93" w:rsidP="00A60602">
      <w:pPr>
        <w:pStyle w:val="Prrafodelista"/>
        <w:numPr>
          <w:ilvl w:val="0"/>
          <w:numId w:val="16"/>
        </w:numPr>
        <w:spacing w:after="0" w:line="276" w:lineRule="auto"/>
        <w:ind w:left="426" w:hanging="284"/>
        <w:jc w:val="both"/>
        <w:rPr>
          <w:rFonts w:ascii="Times New Roman" w:hAnsi="Times New Roman" w:cs="Times New Roman"/>
          <w:sz w:val="24"/>
          <w:szCs w:val="24"/>
        </w:rPr>
      </w:pPr>
      <w:r w:rsidRPr="00647891">
        <w:rPr>
          <w:rFonts w:ascii="Times New Roman" w:hAnsi="Times New Roman" w:cs="Times New Roman"/>
          <w:sz w:val="24"/>
          <w:szCs w:val="24"/>
          <w:u w:val="single"/>
        </w:rPr>
        <w:t>Certificación obligatoria</w:t>
      </w:r>
      <w:r>
        <w:rPr>
          <w:rFonts w:ascii="Times New Roman" w:hAnsi="Times New Roman" w:cs="Times New Roman"/>
          <w:sz w:val="24"/>
          <w:szCs w:val="24"/>
        </w:rPr>
        <w:t>: se obligará a los oficiales de cumplimiento a contar con la certificación en materia de PLD/FT.</w:t>
      </w:r>
    </w:p>
    <w:p w14:paraId="743F7B2D" w14:textId="77777777" w:rsidR="004D294B" w:rsidRPr="004F7CF0" w:rsidRDefault="004D294B" w:rsidP="00A60602">
      <w:pPr>
        <w:pStyle w:val="Prrafodelista"/>
        <w:spacing w:after="0" w:line="276" w:lineRule="auto"/>
        <w:rPr>
          <w:rFonts w:ascii="Times New Roman" w:hAnsi="Times New Roman" w:cs="Times New Roman"/>
          <w:sz w:val="24"/>
          <w:szCs w:val="24"/>
        </w:rPr>
      </w:pPr>
    </w:p>
    <w:p w14:paraId="517EEA95" w14:textId="51F998FE" w:rsidR="004D294B" w:rsidRPr="004F7CF0" w:rsidRDefault="004D294B" w:rsidP="00274FDD">
      <w:pPr>
        <w:pStyle w:val="Prrafodelista"/>
        <w:numPr>
          <w:ilvl w:val="0"/>
          <w:numId w:val="15"/>
        </w:numPr>
        <w:spacing w:after="0" w:line="276" w:lineRule="auto"/>
        <w:ind w:left="426" w:hanging="426"/>
        <w:rPr>
          <w:rFonts w:ascii="Times New Roman" w:hAnsi="Times New Roman" w:cs="Times New Roman"/>
          <w:b/>
          <w:bCs/>
          <w:sz w:val="24"/>
          <w:szCs w:val="24"/>
        </w:rPr>
      </w:pPr>
      <w:r w:rsidRPr="004F7CF0">
        <w:rPr>
          <w:rFonts w:ascii="Times New Roman" w:hAnsi="Times New Roman" w:cs="Times New Roman"/>
          <w:b/>
          <w:bCs/>
          <w:sz w:val="24"/>
          <w:szCs w:val="24"/>
        </w:rPr>
        <w:t>Financiamiento al terrorismo: nuevas obligaciones</w:t>
      </w:r>
    </w:p>
    <w:p w14:paraId="220C08ED" w14:textId="77777777" w:rsidR="00D811B9" w:rsidRPr="004F7CF0" w:rsidRDefault="00D811B9" w:rsidP="00D811B9">
      <w:pPr>
        <w:spacing w:after="0" w:line="276" w:lineRule="auto"/>
        <w:rPr>
          <w:rFonts w:ascii="Times New Roman" w:hAnsi="Times New Roman" w:cs="Times New Roman"/>
          <w:b/>
          <w:bCs/>
          <w:sz w:val="24"/>
          <w:szCs w:val="24"/>
        </w:rPr>
      </w:pPr>
    </w:p>
    <w:p w14:paraId="49F18BA2" w14:textId="05DFC590" w:rsidR="00F448DC" w:rsidRPr="009061D3" w:rsidRDefault="00F448DC" w:rsidP="009061D3">
      <w:pPr>
        <w:spacing w:after="0" w:line="276" w:lineRule="auto"/>
        <w:ind w:firstLine="426"/>
        <w:jc w:val="both"/>
        <w:rPr>
          <w:rFonts w:ascii="Times New Roman" w:hAnsi="Times New Roman" w:cs="Times New Roman"/>
          <w:sz w:val="24"/>
          <w:szCs w:val="24"/>
        </w:rPr>
      </w:pPr>
      <w:r w:rsidRPr="009061D3">
        <w:rPr>
          <w:rFonts w:ascii="Times New Roman" w:hAnsi="Times New Roman" w:cs="Times New Roman"/>
          <w:sz w:val="24"/>
          <w:szCs w:val="24"/>
        </w:rPr>
        <w:t>Como parte del diseño y desarrollo de la metodología basada en riesgos, se establece la obligación expresa de establecer indicadores específicos tanto para el delito de lavado de dinero como para el de financiamiento al terrorismo</w:t>
      </w:r>
      <w:r w:rsidR="005220A7" w:rsidRPr="009061D3">
        <w:rPr>
          <w:rFonts w:ascii="Times New Roman" w:hAnsi="Times New Roman" w:cs="Times New Roman"/>
          <w:sz w:val="24"/>
          <w:szCs w:val="24"/>
        </w:rPr>
        <w:t>.</w:t>
      </w:r>
    </w:p>
    <w:p w14:paraId="7F99002E" w14:textId="77777777" w:rsidR="00D811B9" w:rsidRPr="004F7CF0" w:rsidRDefault="00D811B9" w:rsidP="00A60602">
      <w:pPr>
        <w:spacing w:after="0" w:line="276" w:lineRule="auto"/>
        <w:rPr>
          <w:rFonts w:ascii="Times New Roman" w:hAnsi="Times New Roman" w:cs="Times New Roman"/>
          <w:b/>
          <w:bCs/>
          <w:sz w:val="24"/>
          <w:szCs w:val="24"/>
        </w:rPr>
      </w:pPr>
    </w:p>
    <w:p w14:paraId="7C7F12A8" w14:textId="398F1EC7" w:rsidR="00054EC9" w:rsidRPr="004F7CF0" w:rsidRDefault="00054EC9" w:rsidP="00274FDD">
      <w:pPr>
        <w:pStyle w:val="Prrafodelista"/>
        <w:numPr>
          <w:ilvl w:val="0"/>
          <w:numId w:val="15"/>
        </w:numPr>
        <w:spacing w:after="0" w:line="276" w:lineRule="auto"/>
        <w:ind w:left="426" w:hanging="426"/>
        <w:rPr>
          <w:rFonts w:ascii="Times New Roman" w:hAnsi="Times New Roman" w:cs="Times New Roman"/>
          <w:b/>
          <w:bCs/>
          <w:sz w:val="24"/>
          <w:szCs w:val="24"/>
        </w:rPr>
      </w:pPr>
      <w:r w:rsidRPr="004F7CF0">
        <w:rPr>
          <w:rFonts w:ascii="Times New Roman" w:hAnsi="Times New Roman" w:cs="Times New Roman"/>
          <w:b/>
          <w:bCs/>
          <w:sz w:val="24"/>
          <w:szCs w:val="24"/>
        </w:rPr>
        <w:t>Revisión de expedientes</w:t>
      </w:r>
    </w:p>
    <w:p w14:paraId="457FA485" w14:textId="77777777" w:rsidR="00D03CB4" w:rsidRPr="004F7CF0" w:rsidRDefault="00D03CB4" w:rsidP="002C7080">
      <w:pPr>
        <w:spacing w:after="0" w:line="276" w:lineRule="auto"/>
        <w:jc w:val="both"/>
        <w:rPr>
          <w:rFonts w:ascii="Times New Roman" w:hAnsi="Times New Roman" w:cs="Times New Roman"/>
          <w:sz w:val="24"/>
          <w:szCs w:val="24"/>
        </w:rPr>
      </w:pPr>
    </w:p>
    <w:p w14:paraId="792227DC" w14:textId="782A2007" w:rsidR="00083D2E" w:rsidRPr="009061D3" w:rsidRDefault="00054EC9" w:rsidP="000F3D39">
      <w:pPr>
        <w:spacing w:after="0" w:line="276" w:lineRule="auto"/>
        <w:ind w:firstLine="426"/>
        <w:jc w:val="both"/>
        <w:rPr>
          <w:rFonts w:ascii="Times New Roman" w:hAnsi="Times New Roman" w:cs="Times New Roman"/>
          <w:sz w:val="24"/>
          <w:szCs w:val="24"/>
        </w:rPr>
      </w:pPr>
      <w:r w:rsidRPr="009061D3">
        <w:rPr>
          <w:rFonts w:ascii="Times New Roman" w:hAnsi="Times New Roman" w:cs="Times New Roman"/>
          <w:sz w:val="24"/>
          <w:szCs w:val="24"/>
        </w:rPr>
        <w:t>Se establece la obligaci</w:t>
      </w:r>
      <w:r w:rsidR="00D811B9" w:rsidRPr="009061D3">
        <w:rPr>
          <w:rFonts w:ascii="Times New Roman" w:hAnsi="Times New Roman" w:cs="Times New Roman"/>
          <w:sz w:val="24"/>
          <w:szCs w:val="24"/>
        </w:rPr>
        <w:t xml:space="preserve">ón </w:t>
      </w:r>
      <w:r w:rsidRPr="009061D3">
        <w:rPr>
          <w:rFonts w:ascii="Times New Roman" w:hAnsi="Times New Roman" w:cs="Times New Roman"/>
          <w:sz w:val="24"/>
          <w:szCs w:val="24"/>
        </w:rPr>
        <w:t xml:space="preserve">para las Instituciones, de someter a un proceso de revisión a los expedientes de identificación por un funcionario distinto a aquel que lo integró o actualizó. </w:t>
      </w:r>
      <w:r w:rsidR="00161687" w:rsidRPr="009061D3">
        <w:rPr>
          <w:rFonts w:ascii="Times New Roman" w:hAnsi="Times New Roman" w:cs="Times New Roman"/>
          <w:sz w:val="24"/>
          <w:szCs w:val="24"/>
        </w:rPr>
        <w:t>Asimismo, l</w:t>
      </w:r>
      <w:r w:rsidR="002C7080" w:rsidRPr="009061D3">
        <w:rPr>
          <w:rFonts w:ascii="Times New Roman" w:hAnsi="Times New Roman" w:cs="Times New Roman"/>
          <w:sz w:val="24"/>
          <w:szCs w:val="24"/>
        </w:rPr>
        <w:t>as Instituciones deberán evaluar sus sistemas automatizados cada dos años, y deberá realizarse por un área distinta al área a la que los desarrolló.</w:t>
      </w:r>
      <w:r w:rsidR="000F3D39">
        <w:rPr>
          <w:rFonts w:ascii="Times New Roman" w:hAnsi="Times New Roman" w:cs="Times New Roman"/>
          <w:sz w:val="24"/>
          <w:szCs w:val="24"/>
        </w:rPr>
        <w:t xml:space="preserve"> </w:t>
      </w:r>
      <w:r w:rsidR="002C7080" w:rsidRPr="009061D3">
        <w:rPr>
          <w:rFonts w:ascii="Times New Roman" w:hAnsi="Times New Roman" w:cs="Times New Roman"/>
          <w:sz w:val="24"/>
          <w:szCs w:val="24"/>
        </w:rPr>
        <w:t>Est</w:t>
      </w:r>
      <w:r w:rsidR="00161687" w:rsidRPr="009061D3">
        <w:rPr>
          <w:rFonts w:ascii="Times New Roman" w:hAnsi="Times New Roman" w:cs="Times New Roman"/>
          <w:sz w:val="24"/>
          <w:szCs w:val="24"/>
        </w:rPr>
        <w:t xml:space="preserve">os </w:t>
      </w:r>
      <w:r w:rsidR="002C7080" w:rsidRPr="009061D3">
        <w:rPr>
          <w:rFonts w:ascii="Times New Roman" w:hAnsi="Times New Roman" w:cs="Times New Roman"/>
          <w:sz w:val="24"/>
          <w:szCs w:val="24"/>
        </w:rPr>
        <w:t>procedimiento</w:t>
      </w:r>
      <w:r w:rsidR="00161687" w:rsidRPr="009061D3">
        <w:rPr>
          <w:rFonts w:ascii="Times New Roman" w:hAnsi="Times New Roman" w:cs="Times New Roman"/>
          <w:sz w:val="24"/>
          <w:szCs w:val="24"/>
        </w:rPr>
        <w:t>s</w:t>
      </w:r>
      <w:r w:rsidR="002C7080" w:rsidRPr="009061D3">
        <w:rPr>
          <w:rFonts w:ascii="Times New Roman" w:hAnsi="Times New Roman" w:cs="Times New Roman"/>
          <w:sz w:val="24"/>
          <w:szCs w:val="24"/>
        </w:rPr>
        <w:t xml:space="preserve"> deberá</w:t>
      </w:r>
      <w:r w:rsidR="00161687" w:rsidRPr="009061D3">
        <w:rPr>
          <w:rFonts w:ascii="Times New Roman" w:hAnsi="Times New Roman" w:cs="Times New Roman"/>
          <w:sz w:val="24"/>
          <w:szCs w:val="24"/>
        </w:rPr>
        <w:t>n</w:t>
      </w:r>
      <w:r w:rsidR="002C7080" w:rsidRPr="009061D3">
        <w:rPr>
          <w:rFonts w:ascii="Times New Roman" w:hAnsi="Times New Roman" w:cs="Times New Roman"/>
          <w:sz w:val="24"/>
          <w:szCs w:val="24"/>
        </w:rPr>
        <w:t xml:space="preserve"> establecerse en </w:t>
      </w:r>
      <w:r w:rsidR="00161687" w:rsidRPr="009061D3">
        <w:rPr>
          <w:rFonts w:ascii="Times New Roman" w:hAnsi="Times New Roman" w:cs="Times New Roman"/>
          <w:sz w:val="24"/>
          <w:szCs w:val="24"/>
        </w:rPr>
        <w:t>los</w:t>
      </w:r>
      <w:r w:rsidR="002C7080" w:rsidRPr="009061D3">
        <w:rPr>
          <w:rFonts w:ascii="Times New Roman" w:hAnsi="Times New Roman" w:cs="Times New Roman"/>
          <w:sz w:val="24"/>
          <w:szCs w:val="24"/>
        </w:rPr>
        <w:t xml:space="preserve"> manual</w:t>
      </w:r>
      <w:r w:rsidR="006B1554" w:rsidRPr="009061D3">
        <w:rPr>
          <w:rFonts w:ascii="Times New Roman" w:hAnsi="Times New Roman" w:cs="Times New Roman"/>
          <w:sz w:val="24"/>
          <w:szCs w:val="24"/>
        </w:rPr>
        <w:t>es</w:t>
      </w:r>
      <w:r w:rsidR="002C7080" w:rsidRPr="009061D3">
        <w:rPr>
          <w:rFonts w:ascii="Times New Roman" w:hAnsi="Times New Roman" w:cs="Times New Roman"/>
          <w:sz w:val="24"/>
          <w:szCs w:val="24"/>
        </w:rPr>
        <w:t xml:space="preserve"> de cumplimiento.</w:t>
      </w:r>
    </w:p>
    <w:p w14:paraId="05A8D6A0" w14:textId="77777777" w:rsidR="006B1554" w:rsidRPr="004F7CF0" w:rsidRDefault="006B1554" w:rsidP="00647891">
      <w:pPr>
        <w:spacing w:after="0" w:line="276" w:lineRule="auto"/>
        <w:jc w:val="both"/>
        <w:rPr>
          <w:rFonts w:ascii="Times New Roman" w:hAnsi="Times New Roman" w:cs="Times New Roman"/>
          <w:sz w:val="24"/>
          <w:szCs w:val="24"/>
        </w:rPr>
      </w:pPr>
    </w:p>
    <w:p w14:paraId="52ED2BD8" w14:textId="79A0ADC6" w:rsidR="00083D2E" w:rsidRPr="00021864" w:rsidRDefault="00416920" w:rsidP="00274FDD">
      <w:pPr>
        <w:pStyle w:val="Prrafodelista"/>
        <w:numPr>
          <w:ilvl w:val="0"/>
          <w:numId w:val="15"/>
        </w:numPr>
        <w:spacing w:after="0" w:line="276" w:lineRule="auto"/>
        <w:ind w:left="426" w:hanging="426"/>
        <w:rPr>
          <w:rFonts w:ascii="Times New Roman" w:hAnsi="Times New Roman" w:cs="Times New Roman"/>
          <w:b/>
          <w:bCs/>
          <w:sz w:val="24"/>
          <w:szCs w:val="24"/>
        </w:rPr>
      </w:pPr>
      <w:r w:rsidRPr="00021864">
        <w:rPr>
          <w:rFonts w:ascii="Times New Roman" w:hAnsi="Times New Roman" w:cs="Times New Roman"/>
          <w:b/>
          <w:bCs/>
          <w:sz w:val="24"/>
          <w:szCs w:val="24"/>
        </w:rPr>
        <w:t>Sistemas automatizados</w:t>
      </w:r>
    </w:p>
    <w:p w14:paraId="1C8C496A" w14:textId="70293797" w:rsidR="004F7CF0" w:rsidRPr="0078415D" w:rsidRDefault="004F7CF0" w:rsidP="00647891">
      <w:pPr>
        <w:pStyle w:val="Prrafodelista"/>
        <w:rPr>
          <w:rFonts w:ascii="Times New Roman" w:eastAsia="Times New Roman" w:hAnsi="Times New Roman" w:cs="Times New Roman"/>
          <w:sz w:val="24"/>
          <w:szCs w:val="24"/>
          <w:lang w:eastAsia="es-MX"/>
        </w:rPr>
      </w:pPr>
    </w:p>
    <w:p w14:paraId="6C79ED2A" w14:textId="4D4C7CC5" w:rsidR="004F7CF0" w:rsidRPr="000F3D39" w:rsidRDefault="007F2B0E" w:rsidP="000F3D39">
      <w:pPr>
        <w:spacing w:after="0" w:line="276" w:lineRule="auto"/>
        <w:ind w:firstLine="426"/>
        <w:jc w:val="both"/>
        <w:rPr>
          <w:rFonts w:ascii="Times New Roman" w:eastAsia="Times New Roman" w:hAnsi="Times New Roman" w:cs="Times New Roman"/>
          <w:sz w:val="24"/>
          <w:szCs w:val="24"/>
          <w:lang w:eastAsia="es-MX"/>
        </w:rPr>
      </w:pPr>
      <w:r w:rsidRPr="000F3D39">
        <w:rPr>
          <w:rFonts w:ascii="Times New Roman" w:hAnsi="Times New Roman" w:cs="Times New Roman"/>
          <w:sz w:val="24"/>
          <w:szCs w:val="24"/>
        </w:rPr>
        <w:t>Se adicionan dos nuevas funcione</w:t>
      </w:r>
      <w:r w:rsidR="006B1554" w:rsidRPr="000F3D39">
        <w:rPr>
          <w:rFonts w:ascii="Times New Roman" w:hAnsi="Times New Roman" w:cs="Times New Roman"/>
          <w:sz w:val="24"/>
          <w:szCs w:val="24"/>
        </w:rPr>
        <w:t>s</w:t>
      </w:r>
      <w:r w:rsidRPr="000F3D39">
        <w:rPr>
          <w:rFonts w:ascii="Times New Roman" w:hAnsi="Times New Roman" w:cs="Times New Roman"/>
          <w:sz w:val="24"/>
          <w:szCs w:val="24"/>
        </w:rPr>
        <w:t xml:space="preserve"> con las que deberán contar los sistemas automatizados</w:t>
      </w:r>
      <w:r w:rsidR="002C0AE5" w:rsidRPr="000F3D39">
        <w:rPr>
          <w:rFonts w:ascii="Times New Roman" w:hAnsi="Times New Roman" w:cs="Times New Roman"/>
          <w:sz w:val="24"/>
          <w:szCs w:val="24"/>
        </w:rPr>
        <w:t>:</w:t>
      </w:r>
      <w:r w:rsidRPr="000F3D39">
        <w:rPr>
          <w:rFonts w:ascii="Times New Roman" w:hAnsi="Times New Roman" w:cs="Times New Roman"/>
          <w:sz w:val="24"/>
          <w:szCs w:val="24"/>
        </w:rPr>
        <w:t xml:space="preserve"> </w:t>
      </w:r>
      <w:r w:rsidR="002C0AE5" w:rsidRPr="000F3D39">
        <w:rPr>
          <w:rFonts w:ascii="Times New Roman" w:hAnsi="Times New Roman" w:cs="Times New Roman"/>
          <w:sz w:val="24"/>
          <w:szCs w:val="24"/>
        </w:rPr>
        <w:t>(</w:t>
      </w:r>
      <w:r w:rsidRPr="000F3D39">
        <w:rPr>
          <w:rFonts w:ascii="Times New Roman" w:hAnsi="Times New Roman" w:cs="Times New Roman"/>
          <w:sz w:val="24"/>
          <w:szCs w:val="24"/>
        </w:rPr>
        <w:t>i</w:t>
      </w:r>
      <w:r w:rsidR="002C0AE5" w:rsidRPr="000F3D39">
        <w:rPr>
          <w:rFonts w:ascii="Times New Roman" w:hAnsi="Times New Roman" w:cs="Times New Roman"/>
          <w:sz w:val="24"/>
          <w:szCs w:val="24"/>
        </w:rPr>
        <w:t>)</w:t>
      </w:r>
      <w:r w:rsidR="004F7CF0" w:rsidRPr="000F3D39">
        <w:rPr>
          <w:rFonts w:ascii="Times New Roman" w:hAnsi="Times New Roman" w:cs="Times New Roman"/>
          <w:sz w:val="24"/>
          <w:szCs w:val="24"/>
        </w:rPr>
        <w:t xml:space="preserve"> la ejecución del modelo de evaluación de riesgos y </w:t>
      </w:r>
      <w:r w:rsidR="002C0AE5" w:rsidRPr="000F3D39">
        <w:rPr>
          <w:rFonts w:ascii="Times New Roman" w:hAnsi="Times New Roman" w:cs="Times New Roman"/>
          <w:sz w:val="24"/>
          <w:szCs w:val="24"/>
        </w:rPr>
        <w:t>(</w:t>
      </w:r>
      <w:r w:rsidRPr="000F3D39">
        <w:rPr>
          <w:rFonts w:ascii="Times New Roman" w:hAnsi="Times New Roman" w:cs="Times New Roman"/>
          <w:sz w:val="24"/>
          <w:szCs w:val="24"/>
        </w:rPr>
        <w:t>ii</w:t>
      </w:r>
      <w:r w:rsidR="002C0AE5" w:rsidRPr="000F3D39">
        <w:rPr>
          <w:rFonts w:ascii="Times New Roman" w:hAnsi="Times New Roman" w:cs="Times New Roman"/>
          <w:sz w:val="24"/>
          <w:szCs w:val="24"/>
        </w:rPr>
        <w:t>)</w:t>
      </w:r>
      <w:r w:rsidRPr="000F3D39">
        <w:rPr>
          <w:rFonts w:ascii="Times New Roman" w:hAnsi="Times New Roman" w:cs="Times New Roman"/>
          <w:sz w:val="24"/>
          <w:szCs w:val="24"/>
        </w:rPr>
        <w:t xml:space="preserve"> </w:t>
      </w:r>
      <w:r w:rsidR="004F7CF0" w:rsidRPr="000F3D39">
        <w:rPr>
          <w:rFonts w:ascii="Times New Roman" w:hAnsi="Times New Roman" w:cs="Times New Roman"/>
          <w:sz w:val="24"/>
          <w:szCs w:val="24"/>
        </w:rPr>
        <w:t>la clasificación de clientes</w:t>
      </w:r>
      <w:r w:rsidRPr="000F3D39">
        <w:rPr>
          <w:rFonts w:ascii="Times New Roman" w:hAnsi="Times New Roman" w:cs="Times New Roman"/>
          <w:sz w:val="24"/>
          <w:szCs w:val="24"/>
        </w:rPr>
        <w:t>.</w:t>
      </w:r>
    </w:p>
    <w:p w14:paraId="5457F43E" w14:textId="77777777" w:rsidR="000F3D39" w:rsidRPr="0078415D" w:rsidRDefault="000F3D39" w:rsidP="000F3D39">
      <w:pPr>
        <w:pStyle w:val="Prrafodelista"/>
        <w:spacing w:after="0" w:line="276" w:lineRule="auto"/>
        <w:ind w:left="426"/>
        <w:jc w:val="both"/>
        <w:rPr>
          <w:rFonts w:ascii="Times New Roman" w:eastAsia="Times New Roman" w:hAnsi="Times New Roman" w:cs="Times New Roman"/>
          <w:sz w:val="24"/>
          <w:szCs w:val="24"/>
          <w:lang w:eastAsia="es-MX"/>
        </w:rPr>
      </w:pPr>
    </w:p>
    <w:p w14:paraId="4CA9C18E" w14:textId="1A2C59FE" w:rsidR="00B16265" w:rsidRPr="004F7CF0" w:rsidRDefault="00B16265" w:rsidP="00274FDD">
      <w:pPr>
        <w:pStyle w:val="Prrafodelista"/>
        <w:numPr>
          <w:ilvl w:val="0"/>
          <w:numId w:val="15"/>
        </w:numPr>
        <w:spacing w:after="0" w:line="276" w:lineRule="auto"/>
        <w:ind w:left="426" w:hanging="426"/>
        <w:rPr>
          <w:rFonts w:ascii="Times New Roman" w:hAnsi="Times New Roman" w:cs="Times New Roman"/>
          <w:b/>
          <w:bCs/>
          <w:sz w:val="24"/>
          <w:szCs w:val="24"/>
        </w:rPr>
      </w:pPr>
      <w:r w:rsidRPr="009A4656">
        <w:rPr>
          <w:rFonts w:ascii="Times New Roman" w:hAnsi="Times New Roman" w:cs="Times New Roman"/>
          <w:b/>
          <w:bCs/>
          <w:sz w:val="24"/>
          <w:szCs w:val="24"/>
        </w:rPr>
        <w:t>Enfoque</w:t>
      </w:r>
      <w:r w:rsidRPr="004F7CF0">
        <w:rPr>
          <w:rFonts w:ascii="Times New Roman" w:hAnsi="Times New Roman" w:cs="Times New Roman"/>
          <w:b/>
          <w:bCs/>
          <w:sz w:val="24"/>
          <w:szCs w:val="24"/>
        </w:rPr>
        <w:t xml:space="preserve"> basado en riesgos</w:t>
      </w:r>
    </w:p>
    <w:p w14:paraId="67B37C4F" w14:textId="77777777" w:rsidR="00F448DC" w:rsidRPr="004F7CF0" w:rsidRDefault="00F448DC" w:rsidP="004D294B">
      <w:pPr>
        <w:spacing w:after="0" w:line="276" w:lineRule="auto"/>
        <w:rPr>
          <w:rFonts w:ascii="Times New Roman" w:hAnsi="Times New Roman" w:cs="Times New Roman"/>
          <w:color w:val="666666"/>
          <w:sz w:val="24"/>
          <w:szCs w:val="24"/>
          <w:shd w:val="clear" w:color="auto" w:fill="EBEBEB"/>
        </w:rPr>
      </w:pPr>
    </w:p>
    <w:p w14:paraId="467158BD" w14:textId="68B8AFFC" w:rsidR="0008626B" w:rsidRPr="008061DA" w:rsidRDefault="00161687" w:rsidP="00326D1C">
      <w:pPr>
        <w:spacing w:after="0" w:line="276" w:lineRule="auto"/>
        <w:ind w:firstLine="426"/>
        <w:jc w:val="both"/>
        <w:rPr>
          <w:rFonts w:ascii="Times New Roman" w:hAnsi="Times New Roman" w:cs="Times New Roman"/>
          <w:sz w:val="24"/>
          <w:szCs w:val="24"/>
        </w:rPr>
      </w:pPr>
      <w:r w:rsidRPr="008061DA">
        <w:rPr>
          <w:rFonts w:ascii="Times New Roman" w:hAnsi="Times New Roman" w:cs="Times New Roman"/>
          <w:sz w:val="24"/>
          <w:szCs w:val="24"/>
        </w:rPr>
        <w:lastRenderedPageBreak/>
        <w:t>El</w:t>
      </w:r>
      <w:r w:rsidR="00DE1961" w:rsidRPr="008061DA">
        <w:rPr>
          <w:rFonts w:ascii="Times New Roman" w:hAnsi="Times New Roman" w:cs="Times New Roman"/>
          <w:sz w:val="24"/>
          <w:szCs w:val="24"/>
        </w:rPr>
        <w:t xml:space="preserve"> Anteproyecto establece</w:t>
      </w:r>
      <w:r w:rsidR="00F448DC" w:rsidRPr="008061DA">
        <w:rPr>
          <w:rFonts w:ascii="Times New Roman" w:hAnsi="Times New Roman" w:cs="Times New Roman"/>
          <w:sz w:val="24"/>
          <w:szCs w:val="24"/>
        </w:rPr>
        <w:t xml:space="preserve"> diversos cambios que permiten una supervisión con un enfoque basado en riesgos más estrict</w:t>
      </w:r>
      <w:r w:rsidRPr="008061DA">
        <w:rPr>
          <w:rFonts w:ascii="Times New Roman" w:hAnsi="Times New Roman" w:cs="Times New Roman"/>
          <w:sz w:val="24"/>
          <w:szCs w:val="24"/>
        </w:rPr>
        <w:t>a</w:t>
      </w:r>
      <w:r w:rsidR="00F448DC" w:rsidRPr="008061DA">
        <w:rPr>
          <w:rFonts w:ascii="Times New Roman" w:hAnsi="Times New Roman" w:cs="Times New Roman"/>
          <w:sz w:val="24"/>
          <w:szCs w:val="24"/>
        </w:rPr>
        <w:t>, tanto de las Instituciones respecto de sus clientes, como de la CNBV. Entre otros, se distinguen los siguientes:</w:t>
      </w:r>
    </w:p>
    <w:p w14:paraId="0103F2FB" w14:textId="77777777" w:rsidR="00F448DC" w:rsidRPr="004F7CF0" w:rsidRDefault="00F448DC" w:rsidP="00054EC9">
      <w:pPr>
        <w:spacing w:after="0" w:line="276" w:lineRule="auto"/>
        <w:jc w:val="both"/>
        <w:rPr>
          <w:rFonts w:ascii="Times New Roman" w:hAnsi="Times New Roman" w:cs="Times New Roman"/>
          <w:sz w:val="24"/>
          <w:szCs w:val="24"/>
          <w:lang w:val="es-ES"/>
        </w:rPr>
      </w:pPr>
    </w:p>
    <w:p w14:paraId="7211AA1C" w14:textId="2101D039" w:rsidR="004D294B" w:rsidRPr="004F7CF0" w:rsidRDefault="00DE1961" w:rsidP="0008626B">
      <w:pPr>
        <w:pStyle w:val="Prrafodelista"/>
        <w:numPr>
          <w:ilvl w:val="0"/>
          <w:numId w:val="16"/>
        </w:numPr>
        <w:spacing w:after="0" w:line="276" w:lineRule="auto"/>
        <w:ind w:left="426"/>
        <w:jc w:val="both"/>
        <w:rPr>
          <w:rFonts w:ascii="Times New Roman" w:hAnsi="Times New Roman" w:cs="Times New Roman"/>
          <w:sz w:val="24"/>
          <w:szCs w:val="24"/>
        </w:rPr>
      </w:pPr>
      <w:r w:rsidRPr="004F7CF0">
        <w:rPr>
          <w:rFonts w:ascii="Times New Roman" w:hAnsi="Times New Roman" w:cs="Times New Roman"/>
          <w:sz w:val="24"/>
          <w:szCs w:val="24"/>
          <w:u w:val="single"/>
        </w:rPr>
        <w:t>Reporte de Operatividad</w:t>
      </w:r>
      <w:r w:rsidR="0008626B" w:rsidRPr="004F7CF0">
        <w:rPr>
          <w:rFonts w:ascii="Times New Roman" w:hAnsi="Times New Roman" w:cs="Times New Roman"/>
          <w:i/>
          <w:iCs/>
          <w:sz w:val="24"/>
          <w:szCs w:val="24"/>
        </w:rPr>
        <w:t>:</w:t>
      </w:r>
      <w:r w:rsidR="0008626B" w:rsidRPr="004F7CF0">
        <w:rPr>
          <w:rFonts w:ascii="Times New Roman" w:hAnsi="Times New Roman" w:cs="Times New Roman"/>
          <w:sz w:val="24"/>
          <w:szCs w:val="24"/>
        </w:rPr>
        <w:t xml:space="preserve"> </w:t>
      </w:r>
      <w:r w:rsidR="00054EC9" w:rsidRPr="004F7CF0">
        <w:rPr>
          <w:rFonts w:ascii="Times New Roman" w:hAnsi="Times New Roman" w:cs="Times New Roman"/>
          <w:sz w:val="24"/>
          <w:szCs w:val="24"/>
        </w:rPr>
        <w:t>las Instituciones</w:t>
      </w:r>
      <w:r w:rsidR="00161687">
        <w:rPr>
          <w:rFonts w:ascii="Times New Roman" w:hAnsi="Times New Roman" w:cs="Times New Roman"/>
          <w:sz w:val="24"/>
          <w:szCs w:val="24"/>
        </w:rPr>
        <w:t xml:space="preserve"> deberán remitir</w:t>
      </w:r>
      <w:r w:rsidR="00054EC9" w:rsidRPr="004F7CF0">
        <w:rPr>
          <w:rFonts w:ascii="Times New Roman" w:hAnsi="Times New Roman" w:cs="Times New Roman"/>
          <w:sz w:val="24"/>
          <w:szCs w:val="24"/>
        </w:rPr>
        <w:t xml:space="preserve"> </w:t>
      </w:r>
      <w:r w:rsidRPr="004F7CF0">
        <w:rPr>
          <w:rFonts w:ascii="Times New Roman" w:hAnsi="Times New Roman" w:cs="Times New Roman"/>
          <w:sz w:val="24"/>
          <w:szCs w:val="24"/>
        </w:rPr>
        <w:t>a la CNBV dentro de los últimos diez días hábiles de abril de cada año</w:t>
      </w:r>
      <w:r w:rsidR="00161687">
        <w:rPr>
          <w:rFonts w:ascii="Times New Roman" w:hAnsi="Times New Roman" w:cs="Times New Roman"/>
          <w:sz w:val="24"/>
          <w:szCs w:val="24"/>
        </w:rPr>
        <w:t xml:space="preserve"> un reporte que </w:t>
      </w:r>
      <w:r w:rsidR="00054EC9" w:rsidRPr="004F7CF0">
        <w:rPr>
          <w:rFonts w:ascii="Times New Roman" w:hAnsi="Times New Roman" w:cs="Times New Roman"/>
          <w:sz w:val="24"/>
          <w:szCs w:val="24"/>
        </w:rPr>
        <w:t xml:space="preserve">contendrá </w:t>
      </w:r>
      <w:r w:rsidRPr="004F7CF0">
        <w:rPr>
          <w:rFonts w:ascii="Times New Roman" w:hAnsi="Times New Roman" w:cs="Times New Roman"/>
          <w:sz w:val="24"/>
          <w:szCs w:val="24"/>
        </w:rPr>
        <w:t xml:space="preserve">información cuantitativa sobre sus operaciones, canales, tipo de clientes, tipo de productos y servicios, así como las zonas geográficas donde opera. </w:t>
      </w:r>
      <w:r w:rsidR="0067730B" w:rsidRPr="004F7CF0">
        <w:rPr>
          <w:rFonts w:ascii="Times New Roman" w:hAnsi="Times New Roman" w:cs="Times New Roman"/>
          <w:sz w:val="24"/>
          <w:szCs w:val="24"/>
        </w:rPr>
        <w:t xml:space="preserve">Sigue pendiente la emisión del formato por parte de la CNBV. </w:t>
      </w:r>
    </w:p>
    <w:p w14:paraId="2CC125DB" w14:textId="77777777" w:rsidR="0008626B" w:rsidRPr="004F7CF0" w:rsidRDefault="0008626B" w:rsidP="0008626B">
      <w:pPr>
        <w:pStyle w:val="Prrafodelista"/>
        <w:spacing w:after="0" w:line="276" w:lineRule="auto"/>
        <w:ind w:left="426"/>
        <w:jc w:val="both"/>
        <w:rPr>
          <w:rFonts w:ascii="Times New Roman" w:hAnsi="Times New Roman" w:cs="Times New Roman"/>
          <w:sz w:val="24"/>
          <w:szCs w:val="24"/>
        </w:rPr>
      </w:pPr>
    </w:p>
    <w:p w14:paraId="75F7C631" w14:textId="26CEB538" w:rsidR="00F448DC" w:rsidRPr="004F7CF0" w:rsidRDefault="00A63466" w:rsidP="00F448DC">
      <w:pPr>
        <w:pStyle w:val="Prrafodelista"/>
        <w:numPr>
          <w:ilvl w:val="0"/>
          <w:numId w:val="16"/>
        </w:numPr>
        <w:spacing w:after="0" w:line="276" w:lineRule="auto"/>
        <w:ind w:left="426"/>
        <w:jc w:val="both"/>
        <w:rPr>
          <w:rFonts w:ascii="Times New Roman" w:hAnsi="Times New Roman" w:cs="Times New Roman"/>
          <w:sz w:val="24"/>
          <w:szCs w:val="24"/>
        </w:rPr>
      </w:pPr>
      <w:r w:rsidRPr="004F7CF0">
        <w:rPr>
          <w:rFonts w:ascii="Times New Roman" w:hAnsi="Times New Roman" w:cs="Times New Roman"/>
          <w:sz w:val="24"/>
          <w:szCs w:val="24"/>
          <w:u w:val="single"/>
        </w:rPr>
        <w:t>Monitoreo transaccional diferenciado</w:t>
      </w:r>
      <w:r w:rsidRPr="004F7CF0">
        <w:rPr>
          <w:rFonts w:ascii="Times New Roman" w:hAnsi="Times New Roman" w:cs="Times New Roman"/>
          <w:sz w:val="24"/>
          <w:szCs w:val="24"/>
        </w:rPr>
        <w:t xml:space="preserve">: </w:t>
      </w:r>
      <w:r w:rsidR="00F448DC" w:rsidRPr="004F7CF0">
        <w:rPr>
          <w:rFonts w:ascii="Times New Roman" w:hAnsi="Times New Roman" w:cs="Times New Roman"/>
          <w:sz w:val="24"/>
          <w:szCs w:val="24"/>
        </w:rPr>
        <w:t>las Instituciones deberán aplicar criterios de monitoreo transaccional diferenciados para clientes personas físicas, morales o fideicomisos.</w:t>
      </w:r>
    </w:p>
    <w:p w14:paraId="518E8BEA" w14:textId="77777777" w:rsidR="00F448DC" w:rsidRPr="004F7CF0" w:rsidRDefault="00F448DC" w:rsidP="00A60602">
      <w:pPr>
        <w:pStyle w:val="Prrafodelista"/>
        <w:spacing w:after="0" w:line="276" w:lineRule="auto"/>
        <w:ind w:left="426"/>
        <w:jc w:val="both"/>
        <w:rPr>
          <w:rFonts w:ascii="Times New Roman" w:hAnsi="Times New Roman" w:cs="Times New Roman"/>
          <w:sz w:val="24"/>
          <w:szCs w:val="24"/>
        </w:rPr>
      </w:pPr>
    </w:p>
    <w:p w14:paraId="7A5BB8A0" w14:textId="36A382B9" w:rsidR="007F2B0E" w:rsidRDefault="00A63466" w:rsidP="006B1554">
      <w:pPr>
        <w:pStyle w:val="Prrafodelista"/>
        <w:numPr>
          <w:ilvl w:val="0"/>
          <w:numId w:val="16"/>
        </w:numPr>
        <w:spacing w:after="0" w:line="276" w:lineRule="auto"/>
        <w:ind w:left="426"/>
        <w:jc w:val="both"/>
        <w:rPr>
          <w:rFonts w:ascii="Times New Roman" w:hAnsi="Times New Roman" w:cs="Times New Roman"/>
          <w:sz w:val="24"/>
          <w:szCs w:val="24"/>
        </w:rPr>
      </w:pPr>
      <w:r w:rsidRPr="004F7CF0">
        <w:rPr>
          <w:rFonts w:ascii="Times New Roman" w:hAnsi="Times New Roman" w:cs="Times New Roman"/>
          <w:sz w:val="24"/>
          <w:szCs w:val="24"/>
          <w:u w:val="single"/>
        </w:rPr>
        <w:t>Entrevista</w:t>
      </w:r>
      <w:r w:rsidRPr="004F7CF0">
        <w:rPr>
          <w:rFonts w:ascii="Times New Roman" w:hAnsi="Times New Roman" w:cs="Times New Roman"/>
          <w:sz w:val="24"/>
          <w:szCs w:val="24"/>
        </w:rPr>
        <w:t>: s</w:t>
      </w:r>
      <w:r w:rsidR="0008626B" w:rsidRPr="004F7CF0">
        <w:rPr>
          <w:rFonts w:ascii="Times New Roman" w:hAnsi="Times New Roman" w:cs="Times New Roman"/>
          <w:sz w:val="24"/>
          <w:szCs w:val="24"/>
        </w:rPr>
        <w:t xml:space="preserve">i un cliente llega a contar con más de una cuenta en la misma Institución o cuando el nivel transaccional de cualquiera de sus productos sobrepase el monto máximo para que sean considerados como de bajo riesgo, </w:t>
      </w:r>
      <w:r w:rsidR="0008626B" w:rsidRPr="009A4656">
        <w:rPr>
          <w:rFonts w:ascii="Times New Roman" w:hAnsi="Times New Roman" w:cs="Times New Roman"/>
          <w:sz w:val="24"/>
          <w:szCs w:val="24"/>
        </w:rPr>
        <w:t>se establece la obligación para la Institución de realizar</w:t>
      </w:r>
      <w:r w:rsidR="0008626B" w:rsidRPr="004F7CF0">
        <w:rPr>
          <w:rFonts w:ascii="Times New Roman" w:hAnsi="Times New Roman" w:cs="Times New Roman"/>
          <w:sz w:val="24"/>
          <w:szCs w:val="24"/>
        </w:rPr>
        <w:t xml:space="preserve"> la entrevista presencial o remota </w:t>
      </w:r>
      <w:r w:rsidR="007E7C87">
        <w:rPr>
          <w:rFonts w:ascii="Times New Roman" w:hAnsi="Times New Roman" w:cs="Times New Roman"/>
          <w:sz w:val="24"/>
          <w:szCs w:val="24"/>
        </w:rPr>
        <w:t xml:space="preserve">(actualmente solo obliga a </w:t>
      </w:r>
      <w:r w:rsidR="0008626B" w:rsidRPr="004F7CF0">
        <w:rPr>
          <w:rFonts w:ascii="Times New Roman" w:hAnsi="Times New Roman" w:cs="Times New Roman"/>
          <w:sz w:val="24"/>
          <w:szCs w:val="24"/>
        </w:rPr>
        <w:t>integrar el expediente de conformidad con el nivel de riesgo que le corresponda</w:t>
      </w:r>
      <w:r w:rsidR="007E7C87">
        <w:rPr>
          <w:rFonts w:ascii="Times New Roman" w:hAnsi="Times New Roman" w:cs="Times New Roman"/>
          <w:sz w:val="24"/>
          <w:szCs w:val="24"/>
        </w:rPr>
        <w:t>)</w:t>
      </w:r>
      <w:r w:rsidR="0008626B" w:rsidRPr="004F7CF0">
        <w:rPr>
          <w:rFonts w:ascii="Times New Roman" w:hAnsi="Times New Roman" w:cs="Times New Roman"/>
          <w:sz w:val="24"/>
          <w:szCs w:val="24"/>
        </w:rPr>
        <w:t>. No podrán continuar ninguna operación en tanto no se concluye lo anterior.</w:t>
      </w:r>
    </w:p>
    <w:p w14:paraId="70293437" w14:textId="77777777" w:rsidR="006B1554" w:rsidRPr="006B1554" w:rsidRDefault="006B1554" w:rsidP="006B1554">
      <w:pPr>
        <w:pStyle w:val="Prrafodelista"/>
        <w:spacing w:after="0" w:line="276" w:lineRule="auto"/>
        <w:ind w:left="426"/>
        <w:jc w:val="both"/>
        <w:rPr>
          <w:rFonts w:ascii="Times New Roman" w:hAnsi="Times New Roman" w:cs="Times New Roman"/>
          <w:sz w:val="24"/>
          <w:szCs w:val="24"/>
        </w:rPr>
      </w:pPr>
    </w:p>
    <w:p w14:paraId="36CF70B9" w14:textId="00A0B9D5" w:rsidR="009A4656" w:rsidRDefault="00EB2196" w:rsidP="0078415D">
      <w:pPr>
        <w:pStyle w:val="Prrafodelista"/>
        <w:numPr>
          <w:ilvl w:val="0"/>
          <w:numId w:val="16"/>
        </w:numPr>
        <w:spacing w:after="0" w:line="276" w:lineRule="auto"/>
        <w:ind w:left="426"/>
        <w:jc w:val="both"/>
        <w:rPr>
          <w:rFonts w:ascii="Times New Roman" w:hAnsi="Times New Roman" w:cs="Times New Roman"/>
          <w:sz w:val="24"/>
          <w:szCs w:val="24"/>
        </w:rPr>
      </w:pPr>
      <w:r w:rsidRPr="00EB2196">
        <w:rPr>
          <w:rFonts w:ascii="Times New Roman" w:hAnsi="Times New Roman" w:cs="Times New Roman"/>
          <w:sz w:val="24"/>
          <w:szCs w:val="24"/>
          <w:u w:val="single"/>
        </w:rPr>
        <w:t>Perfil transaccional:</w:t>
      </w:r>
      <w:r>
        <w:rPr>
          <w:rFonts w:ascii="Times New Roman" w:hAnsi="Times New Roman" w:cs="Times New Roman"/>
          <w:sz w:val="24"/>
          <w:szCs w:val="24"/>
        </w:rPr>
        <w:t xml:space="preserve"> </w:t>
      </w:r>
      <w:r w:rsidR="007F2B0E" w:rsidRPr="00372BF2">
        <w:rPr>
          <w:rFonts w:ascii="Times New Roman" w:hAnsi="Times New Roman" w:cs="Times New Roman"/>
          <w:sz w:val="24"/>
          <w:szCs w:val="24"/>
        </w:rPr>
        <w:t>Se adiciona un párrafo donde se establece que las Instituciones, para determinar el nivel transaccional de sus clientes</w:t>
      </w:r>
      <w:r w:rsidR="007F2B0E">
        <w:rPr>
          <w:rFonts w:ascii="Times New Roman" w:hAnsi="Times New Roman" w:cs="Times New Roman"/>
          <w:sz w:val="24"/>
          <w:szCs w:val="24"/>
        </w:rPr>
        <w:t>,</w:t>
      </w:r>
      <w:r w:rsidR="007F2B0E" w:rsidRPr="00372BF2">
        <w:rPr>
          <w:rFonts w:ascii="Times New Roman" w:hAnsi="Times New Roman" w:cs="Times New Roman"/>
          <w:sz w:val="24"/>
          <w:szCs w:val="24"/>
        </w:rPr>
        <w:t xml:space="preserve"> </w:t>
      </w:r>
      <w:r w:rsidR="007F2B0E">
        <w:rPr>
          <w:rFonts w:ascii="Times New Roman" w:hAnsi="Times New Roman" w:cs="Times New Roman"/>
          <w:sz w:val="24"/>
          <w:szCs w:val="24"/>
        </w:rPr>
        <w:t>podrán</w:t>
      </w:r>
      <w:r w:rsidR="007F2B0E" w:rsidRPr="00372BF2">
        <w:rPr>
          <w:rFonts w:ascii="Times New Roman" w:hAnsi="Times New Roman" w:cs="Times New Roman"/>
          <w:sz w:val="24"/>
          <w:szCs w:val="24"/>
        </w:rPr>
        <w:t xml:space="preserve"> no tomar en cuenta los intereses generados, las devoluciones por transferencias o cualquier otra bonificación.</w:t>
      </w:r>
    </w:p>
    <w:p w14:paraId="4D6D0C11" w14:textId="77777777" w:rsidR="009A4656" w:rsidRDefault="009A4656" w:rsidP="009A4656">
      <w:pPr>
        <w:pStyle w:val="Prrafodelista"/>
        <w:rPr>
          <w:rFonts w:ascii="Times New Roman" w:hAnsi="Times New Roman" w:cs="Times New Roman"/>
          <w:sz w:val="24"/>
          <w:szCs w:val="24"/>
        </w:rPr>
      </w:pPr>
    </w:p>
    <w:p w14:paraId="46974598" w14:textId="09428472" w:rsidR="007F2B0E" w:rsidRPr="006B1554" w:rsidRDefault="00385DC0" w:rsidP="006B1554">
      <w:pPr>
        <w:pStyle w:val="Prrafodelista"/>
        <w:numPr>
          <w:ilvl w:val="0"/>
          <w:numId w:val="16"/>
        </w:numPr>
        <w:ind w:left="426"/>
        <w:jc w:val="both"/>
      </w:pPr>
      <w:r w:rsidRPr="00385DC0">
        <w:rPr>
          <w:rFonts w:ascii="Times New Roman" w:hAnsi="Times New Roman" w:cs="Times New Roman"/>
          <w:sz w:val="24"/>
          <w:szCs w:val="24"/>
          <w:u w:val="single"/>
        </w:rPr>
        <w:t>Manual:</w:t>
      </w:r>
      <w:r>
        <w:rPr>
          <w:rFonts w:ascii="Times New Roman" w:hAnsi="Times New Roman" w:cs="Times New Roman"/>
          <w:sz w:val="24"/>
          <w:szCs w:val="24"/>
        </w:rPr>
        <w:t xml:space="preserve"> </w:t>
      </w:r>
      <w:r w:rsidR="007F2B0E" w:rsidRPr="0078415D">
        <w:rPr>
          <w:rFonts w:ascii="Times New Roman" w:hAnsi="Times New Roman" w:cs="Times New Roman"/>
          <w:sz w:val="24"/>
          <w:szCs w:val="24"/>
        </w:rPr>
        <w:t>Se adiciona un párrafo mediante el cual se establece la obligación de  incluir en el manual de cumplimiento el procedimiento para obtener información adicional de aquellos clientes que representen un mayor grado de riesgo, especificando la información adicional que debe recabarse de dichos clientes en relación con aquellos que representan un grado de riesgo menor, así como la forma en que llevarán a cabo una supervisión más estricta al comportamiento transaccional de dichos clientes, la cual deberá realizarse de forma diferenciada.</w:t>
      </w:r>
    </w:p>
    <w:p w14:paraId="79BC9558" w14:textId="77777777" w:rsidR="006B1554" w:rsidRDefault="006B1554" w:rsidP="006B1554">
      <w:pPr>
        <w:pStyle w:val="Prrafodelista"/>
      </w:pPr>
    </w:p>
    <w:p w14:paraId="2621CCDA" w14:textId="77777777" w:rsidR="006B1554" w:rsidRPr="004F7CF0" w:rsidRDefault="006B1554" w:rsidP="006B1554">
      <w:pPr>
        <w:pStyle w:val="Prrafodelista"/>
        <w:ind w:left="426"/>
        <w:jc w:val="both"/>
      </w:pPr>
    </w:p>
    <w:p w14:paraId="48983EC1" w14:textId="207738F1" w:rsidR="003B1A1C" w:rsidRPr="004F7CF0" w:rsidRDefault="003B1A1C" w:rsidP="00274FDD">
      <w:pPr>
        <w:pStyle w:val="Prrafodelista"/>
        <w:numPr>
          <w:ilvl w:val="0"/>
          <w:numId w:val="15"/>
        </w:numPr>
        <w:spacing w:after="0" w:line="276" w:lineRule="auto"/>
        <w:ind w:left="426" w:hanging="426"/>
        <w:rPr>
          <w:rFonts w:ascii="Times New Roman" w:hAnsi="Times New Roman" w:cs="Times New Roman"/>
          <w:b/>
          <w:bCs/>
          <w:sz w:val="24"/>
          <w:szCs w:val="24"/>
        </w:rPr>
      </w:pPr>
      <w:r w:rsidRPr="004F7CF0">
        <w:rPr>
          <w:rFonts w:ascii="Times New Roman" w:hAnsi="Times New Roman" w:cs="Times New Roman"/>
          <w:b/>
          <w:bCs/>
          <w:sz w:val="24"/>
          <w:szCs w:val="24"/>
        </w:rPr>
        <w:t>GAFI</w:t>
      </w:r>
    </w:p>
    <w:p w14:paraId="13AC5B8A" w14:textId="77777777" w:rsidR="003B1A1C" w:rsidRPr="004F7CF0" w:rsidRDefault="003B1A1C" w:rsidP="003B1A1C">
      <w:pPr>
        <w:pStyle w:val="Prrafodelista"/>
        <w:spacing w:after="0" w:line="276" w:lineRule="auto"/>
        <w:rPr>
          <w:rFonts w:ascii="Times New Roman" w:hAnsi="Times New Roman" w:cs="Times New Roman"/>
          <w:sz w:val="24"/>
          <w:szCs w:val="24"/>
        </w:rPr>
      </w:pPr>
    </w:p>
    <w:p w14:paraId="292DE8CD" w14:textId="033A5213" w:rsidR="00A63466" w:rsidRPr="008061DA" w:rsidRDefault="00A63466" w:rsidP="008061DA">
      <w:pPr>
        <w:jc w:val="both"/>
        <w:rPr>
          <w:rFonts w:ascii="Times New Roman" w:hAnsi="Times New Roman" w:cs="Times New Roman"/>
          <w:sz w:val="24"/>
          <w:szCs w:val="24"/>
        </w:rPr>
      </w:pPr>
      <w:r w:rsidRPr="008061DA">
        <w:rPr>
          <w:rFonts w:ascii="Times New Roman" w:hAnsi="Times New Roman" w:cs="Times New Roman"/>
          <w:sz w:val="24"/>
          <w:szCs w:val="24"/>
        </w:rPr>
        <w:t xml:space="preserve">Las disposiciones vigentes obligan a las Instituciones a </w:t>
      </w:r>
      <w:r w:rsidR="006439C5" w:rsidRPr="008061DA">
        <w:rPr>
          <w:rFonts w:ascii="Times New Roman" w:hAnsi="Times New Roman" w:cs="Times New Roman"/>
          <w:sz w:val="24"/>
          <w:szCs w:val="24"/>
        </w:rPr>
        <w:t>presentar un reporte de operaciones inusuales cuando estén involucrados</w:t>
      </w:r>
      <w:r w:rsidRPr="008061DA">
        <w:rPr>
          <w:rFonts w:ascii="Times New Roman" w:hAnsi="Times New Roman" w:cs="Times New Roman"/>
          <w:sz w:val="24"/>
          <w:szCs w:val="24"/>
        </w:rPr>
        <w:t xml:space="preserve"> países y jurisdicciones que sean considerados regímenes fiscales preferentes o que hayan sido identificados por algún organismo internacional como carentes de medidas para el combate del LD/FT. El Anteproyecto </w:t>
      </w:r>
      <w:r w:rsidR="006439C5" w:rsidRPr="008061DA">
        <w:rPr>
          <w:rFonts w:ascii="Times New Roman" w:hAnsi="Times New Roman" w:cs="Times New Roman"/>
          <w:sz w:val="24"/>
          <w:szCs w:val="24"/>
        </w:rPr>
        <w:t>propone obligar a las Instituciones a lo siguiente:</w:t>
      </w:r>
    </w:p>
    <w:p w14:paraId="4C65D61B" w14:textId="77777777" w:rsidR="00A63466" w:rsidRPr="004F7CF0" w:rsidRDefault="00A63466" w:rsidP="003B1A1C">
      <w:pPr>
        <w:spacing w:after="0" w:line="276" w:lineRule="auto"/>
        <w:rPr>
          <w:rFonts w:ascii="Times New Roman" w:hAnsi="Times New Roman" w:cs="Times New Roman"/>
          <w:sz w:val="24"/>
          <w:szCs w:val="24"/>
        </w:rPr>
      </w:pPr>
    </w:p>
    <w:p w14:paraId="055F78C4" w14:textId="446617E7" w:rsidR="00A63466" w:rsidRPr="004F7CF0" w:rsidRDefault="005933D9" w:rsidP="00A63466">
      <w:pPr>
        <w:pStyle w:val="Prrafodelista"/>
        <w:numPr>
          <w:ilvl w:val="0"/>
          <w:numId w:val="16"/>
        </w:numPr>
        <w:spacing w:after="0" w:line="276" w:lineRule="auto"/>
        <w:ind w:left="426"/>
        <w:jc w:val="both"/>
        <w:rPr>
          <w:rFonts w:ascii="Times New Roman" w:hAnsi="Times New Roman" w:cs="Times New Roman"/>
          <w:sz w:val="24"/>
          <w:szCs w:val="24"/>
        </w:rPr>
      </w:pPr>
      <w:r w:rsidRPr="004F7CF0">
        <w:rPr>
          <w:rFonts w:ascii="Times New Roman" w:hAnsi="Times New Roman" w:cs="Times New Roman"/>
          <w:sz w:val="24"/>
          <w:szCs w:val="24"/>
        </w:rPr>
        <w:t xml:space="preserve">Para </w:t>
      </w:r>
      <w:r w:rsidR="00A63466" w:rsidRPr="004F7CF0">
        <w:rPr>
          <w:rFonts w:ascii="Times New Roman" w:hAnsi="Times New Roman" w:cs="Times New Roman"/>
          <w:sz w:val="24"/>
          <w:szCs w:val="24"/>
        </w:rPr>
        <w:t>determinar el grado de riesgo de los clientes que realicen transferencias, las Instituciones deberán considerar si tales operaciones involucran dichos países o jurisdicciones.</w:t>
      </w:r>
    </w:p>
    <w:p w14:paraId="675CDB0B" w14:textId="77777777" w:rsidR="00A63466" w:rsidRPr="004F7CF0" w:rsidRDefault="00A63466" w:rsidP="00A60602">
      <w:pPr>
        <w:pStyle w:val="Prrafodelista"/>
        <w:spacing w:after="0" w:line="276" w:lineRule="auto"/>
        <w:ind w:left="426"/>
        <w:jc w:val="both"/>
        <w:rPr>
          <w:rFonts w:ascii="Times New Roman" w:hAnsi="Times New Roman" w:cs="Times New Roman"/>
          <w:sz w:val="24"/>
          <w:szCs w:val="24"/>
        </w:rPr>
      </w:pPr>
    </w:p>
    <w:p w14:paraId="7C95EB0C" w14:textId="0496DE3A" w:rsidR="00A63466" w:rsidRPr="004F7CF0" w:rsidRDefault="00A63466" w:rsidP="00A63466">
      <w:pPr>
        <w:pStyle w:val="Prrafodelista"/>
        <w:numPr>
          <w:ilvl w:val="0"/>
          <w:numId w:val="16"/>
        </w:numPr>
        <w:spacing w:after="0" w:line="276" w:lineRule="auto"/>
        <w:ind w:left="426"/>
        <w:jc w:val="both"/>
        <w:rPr>
          <w:rFonts w:ascii="Times New Roman" w:hAnsi="Times New Roman" w:cs="Times New Roman"/>
          <w:sz w:val="24"/>
          <w:szCs w:val="24"/>
        </w:rPr>
      </w:pPr>
      <w:r w:rsidRPr="004F7CF0">
        <w:rPr>
          <w:rFonts w:ascii="Times New Roman" w:hAnsi="Times New Roman" w:cs="Times New Roman"/>
          <w:sz w:val="24"/>
          <w:szCs w:val="24"/>
        </w:rPr>
        <w:t xml:space="preserve">Las Instituciones deberán aplicar medidas de debida diligencia reforzada en la prestación de servicios de corresponsalía a entidades financieras extranjeras domiciliadas y constituidas en dichos países o jurisdicciones. </w:t>
      </w:r>
    </w:p>
    <w:p w14:paraId="0BAE236A" w14:textId="77777777" w:rsidR="00A63466" w:rsidRPr="004F7CF0" w:rsidRDefault="00A63466" w:rsidP="00A60602">
      <w:pPr>
        <w:pStyle w:val="Prrafodelista"/>
        <w:rPr>
          <w:rFonts w:ascii="Times New Roman" w:hAnsi="Times New Roman" w:cs="Times New Roman"/>
          <w:sz w:val="24"/>
          <w:szCs w:val="24"/>
        </w:rPr>
      </w:pPr>
    </w:p>
    <w:p w14:paraId="2A1DC582" w14:textId="77777777" w:rsidR="00A63466" w:rsidRPr="004F7CF0" w:rsidRDefault="00A63466" w:rsidP="003B1A1C">
      <w:pPr>
        <w:pStyle w:val="Prrafodelista"/>
        <w:numPr>
          <w:ilvl w:val="0"/>
          <w:numId w:val="16"/>
        </w:numPr>
        <w:spacing w:after="0" w:line="276" w:lineRule="auto"/>
        <w:ind w:left="426"/>
        <w:jc w:val="both"/>
        <w:rPr>
          <w:rFonts w:ascii="Times New Roman" w:hAnsi="Times New Roman" w:cs="Times New Roman"/>
          <w:sz w:val="24"/>
          <w:szCs w:val="24"/>
        </w:rPr>
      </w:pPr>
      <w:r w:rsidRPr="004F7CF0">
        <w:rPr>
          <w:rFonts w:ascii="Times New Roman" w:hAnsi="Times New Roman" w:cs="Times New Roman"/>
          <w:sz w:val="24"/>
          <w:szCs w:val="24"/>
        </w:rPr>
        <w:t>Las Entidades deberán abstenerse de realizar operaciones de corresponsalía con entidades financieras extranjeras o instituciones o intermediarios financieros que no tengan presencia física en jurisdicción alguna o que no cuenten con un centro de negocios</w:t>
      </w:r>
    </w:p>
    <w:p w14:paraId="532ECA1E" w14:textId="77777777" w:rsidR="00A63466" w:rsidRPr="004F7CF0" w:rsidRDefault="00A63466" w:rsidP="00A60602">
      <w:pPr>
        <w:pStyle w:val="Prrafodelista"/>
        <w:rPr>
          <w:rFonts w:ascii="Times New Roman" w:hAnsi="Times New Roman" w:cs="Times New Roman"/>
          <w:sz w:val="24"/>
          <w:szCs w:val="24"/>
        </w:rPr>
      </w:pPr>
    </w:p>
    <w:p w14:paraId="56408669" w14:textId="054C99FF" w:rsidR="003B1A1C" w:rsidRPr="004F7CF0" w:rsidRDefault="00A63466" w:rsidP="004E2849">
      <w:pPr>
        <w:pStyle w:val="Prrafodelista"/>
        <w:numPr>
          <w:ilvl w:val="0"/>
          <w:numId w:val="16"/>
        </w:numPr>
        <w:spacing w:after="0" w:line="276" w:lineRule="auto"/>
        <w:ind w:left="426"/>
        <w:jc w:val="both"/>
        <w:rPr>
          <w:rFonts w:ascii="Times New Roman" w:hAnsi="Times New Roman" w:cs="Times New Roman"/>
          <w:sz w:val="24"/>
          <w:szCs w:val="24"/>
        </w:rPr>
      </w:pPr>
      <w:r w:rsidRPr="004F7CF0">
        <w:rPr>
          <w:rFonts w:ascii="Times New Roman" w:hAnsi="Times New Roman" w:cs="Times New Roman"/>
          <w:sz w:val="24"/>
          <w:szCs w:val="24"/>
        </w:rPr>
        <w:t>Se debe incluir</w:t>
      </w:r>
      <w:r w:rsidR="003B1A1C" w:rsidRPr="004F7CF0">
        <w:rPr>
          <w:rFonts w:ascii="Times New Roman" w:hAnsi="Times New Roman" w:cs="Times New Roman"/>
          <w:sz w:val="24"/>
          <w:szCs w:val="24"/>
        </w:rPr>
        <w:t xml:space="preserve"> en los </w:t>
      </w:r>
      <w:r w:rsidRPr="004F7CF0">
        <w:rPr>
          <w:rFonts w:ascii="Times New Roman" w:hAnsi="Times New Roman" w:cs="Times New Roman"/>
          <w:sz w:val="24"/>
          <w:szCs w:val="24"/>
        </w:rPr>
        <w:t>Reportes de Transferencias Internacionales de Fondos</w:t>
      </w:r>
      <w:r w:rsidR="003B1A1C" w:rsidRPr="004F7CF0">
        <w:rPr>
          <w:rFonts w:ascii="Times New Roman" w:hAnsi="Times New Roman" w:cs="Times New Roman"/>
          <w:sz w:val="24"/>
          <w:szCs w:val="24"/>
        </w:rPr>
        <w:t>, la jurisdicción o país involucrado</w:t>
      </w:r>
      <w:r w:rsidRPr="004F7CF0">
        <w:rPr>
          <w:rFonts w:ascii="Times New Roman" w:hAnsi="Times New Roman" w:cs="Times New Roman"/>
          <w:sz w:val="24"/>
          <w:szCs w:val="24"/>
        </w:rPr>
        <w:t>.</w:t>
      </w:r>
    </w:p>
    <w:p w14:paraId="6BE9E8C9" w14:textId="77777777" w:rsidR="00CA00DE" w:rsidRDefault="00CA00DE" w:rsidP="0067730B">
      <w:pPr>
        <w:spacing w:after="0" w:line="276" w:lineRule="auto"/>
        <w:jc w:val="both"/>
        <w:rPr>
          <w:rFonts w:ascii="Times New Roman" w:hAnsi="Times New Roman" w:cs="Times New Roman"/>
          <w:sz w:val="24"/>
          <w:szCs w:val="24"/>
        </w:rPr>
      </w:pPr>
    </w:p>
    <w:p w14:paraId="73C5A9A8" w14:textId="77777777" w:rsidR="00326D1C" w:rsidRPr="004F7CF0" w:rsidRDefault="00326D1C" w:rsidP="0067730B">
      <w:pPr>
        <w:spacing w:after="0" w:line="276" w:lineRule="auto"/>
        <w:jc w:val="both"/>
        <w:rPr>
          <w:rFonts w:ascii="Times New Roman" w:hAnsi="Times New Roman" w:cs="Times New Roman"/>
          <w:sz w:val="24"/>
          <w:szCs w:val="24"/>
        </w:rPr>
      </w:pPr>
    </w:p>
    <w:p w14:paraId="4A936E49" w14:textId="5F8FE5F7" w:rsidR="004A56E6" w:rsidRPr="004F7CF0" w:rsidRDefault="006E3D70" w:rsidP="0067730B">
      <w:pPr>
        <w:spacing w:after="0" w:line="276" w:lineRule="auto"/>
        <w:ind w:firstLine="284"/>
        <w:jc w:val="both"/>
        <w:rPr>
          <w:rFonts w:ascii="Times New Roman" w:hAnsi="Times New Roman" w:cs="Times New Roman"/>
          <w:b/>
          <w:sz w:val="24"/>
          <w:szCs w:val="24"/>
          <w:lang w:val="es"/>
        </w:rPr>
      </w:pPr>
      <w:r>
        <w:rPr>
          <w:rFonts w:ascii="Times New Roman" w:hAnsi="Times New Roman" w:cs="Times New Roman"/>
          <w:b/>
          <w:sz w:val="24"/>
          <w:szCs w:val="24"/>
          <w:lang w:val="es"/>
        </w:rPr>
        <w:t>III.</w:t>
      </w:r>
      <w:r w:rsidR="00A03017" w:rsidRPr="004F7CF0">
        <w:rPr>
          <w:rFonts w:ascii="Times New Roman" w:hAnsi="Times New Roman" w:cs="Times New Roman"/>
          <w:b/>
          <w:sz w:val="24"/>
          <w:szCs w:val="24"/>
          <w:lang w:val="es"/>
        </w:rPr>
        <w:t xml:space="preserve"> Disposiciones transitorias.</w:t>
      </w:r>
    </w:p>
    <w:p w14:paraId="28CADEAE" w14:textId="77777777" w:rsidR="00195BF3" w:rsidRPr="004F7CF0" w:rsidRDefault="00195BF3" w:rsidP="00195BF3">
      <w:pPr>
        <w:spacing w:after="0" w:line="276" w:lineRule="auto"/>
        <w:ind w:firstLine="284"/>
        <w:jc w:val="both"/>
        <w:rPr>
          <w:rFonts w:ascii="Times New Roman" w:hAnsi="Times New Roman" w:cs="Times New Roman"/>
          <w:bCs/>
          <w:sz w:val="24"/>
          <w:szCs w:val="24"/>
          <w:lang w:val="es"/>
        </w:rPr>
      </w:pPr>
    </w:p>
    <w:p w14:paraId="09365CC9" w14:textId="7A584E90" w:rsidR="00A03017" w:rsidRPr="006E3D70" w:rsidRDefault="008C77CD" w:rsidP="006E3D70">
      <w:pPr>
        <w:jc w:val="both"/>
        <w:rPr>
          <w:rFonts w:ascii="Times New Roman" w:hAnsi="Times New Roman" w:cs="Times New Roman"/>
          <w:bCs/>
          <w:sz w:val="24"/>
          <w:szCs w:val="24"/>
          <w:lang w:val="es"/>
        </w:rPr>
      </w:pPr>
      <w:r w:rsidRPr="006E3D70">
        <w:rPr>
          <w:rFonts w:ascii="Times New Roman" w:hAnsi="Times New Roman" w:cs="Times New Roman"/>
          <w:bCs/>
          <w:sz w:val="24"/>
          <w:szCs w:val="24"/>
          <w:lang w:val="es"/>
        </w:rPr>
        <w:t>L</w:t>
      </w:r>
      <w:r w:rsidR="006A66A3" w:rsidRPr="006E3D70">
        <w:rPr>
          <w:rFonts w:ascii="Times New Roman" w:hAnsi="Times New Roman" w:cs="Times New Roman"/>
          <w:bCs/>
          <w:sz w:val="24"/>
          <w:szCs w:val="24"/>
          <w:lang w:val="es"/>
        </w:rPr>
        <w:t xml:space="preserve">as modificaciones entrarán en vigor al día siguiente de la publicación del Anteproyecto en </w:t>
      </w:r>
      <w:r w:rsidR="009F7276" w:rsidRPr="006E3D70">
        <w:rPr>
          <w:rFonts w:ascii="Times New Roman" w:hAnsi="Times New Roman" w:cs="Times New Roman"/>
          <w:bCs/>
          <w:sz w:val="24"/>
          <w:szCs w:val="24"/>
          <w:lang w:val="es"/>
        </w:rPr>
        <w:t>el Diario Oficial de la Federación</w:t>
      </w:r>
      <w:r w:rsidR="004F6B2F" w:rsidRPr="006E3D70">
        <w:rPr>
          <w:rFonts w:ascii="Times New Roman" w:hAnsi="Times New Roman" w:cs="Times New Roman"/>
          <w:bCs/>
          <w:sz w:val="24"/>
          <w:szCs w:val="24"/>
          <w:lang w:val="es"/>
        </w:rPr>
        <w:t>. Sin embargo,</w:t>
      </w:r>
      <w:r w:rsidR="009F7276" w:rsidRPr="006E3D70">
        <w:rPr>
          <w:rFonts w:ascii="Times New Roman" w:hAnsi="Times New Roman" w:cs="Times New Roman"/>
          <w:bCs/>
          <w:sz w:val="24"/>
          <w:szCs w:val="24"/>
          <w:lang w:val="es"/>
        </w:rPr>
        <w:t xml:space="preserve"> las Instituciones deberán de dar cumplimiento a las siguientes obligaciones conforme a los siguientes plazos:</w:t>
      </w:r>
    </w:p>
    <w:p w14:paraId="39186D68" w14:textId="77777777" w:rsidR="00195BF3" w:rsidRPr="004F7CF0" w:rsidRDefault="00195BF3" w:rsidP="0067730B">
      <w:pPr>
        <w:spacing w:after="0" w:line="276" w:lineRule="auto"/>
        <w:ind w:firstLine="284"/>
        <w:jc w:val="both"/>
        <w:rPr>
          <w:rFonts w:ascii="Times New Roman" w:hAnsi="Times New Roman" w:cs="Times New Roman"/>
          <w:bCs/>
          <w:sz w:val="24"/>
          <w:szCs w:val="24"/>
          <w:lang w:val="es"/>
        </w:rPr>
      </w:pPr>
    </w:p>
    <w:p w14:paraId="11968D10" w14:textId="61649E7D" w:rsidR="00F11C0C" w:rsidRDefault="00F11C0C" w:rsidP="006B1554">
      <w:pPr>
        <w:pStyle w:val="Prrafodelista"/>
        <w:numPr>
          <w:ilvl w:val="0"/>
          <w:numId w:val="19"/>
        </w:numPr>
        <w:spacing w:after="0" w:line="276" w:lineRule="auto"/>
        <w:ind w:left="709" w:hanging="425"/>
        <w:jc w:val="both"/>
        <w:rPr>
          <w:rFonts w:ascii="Times New Roman" w:hAnsi="Times New Roman" w:cs="Times New Roman"/>
          <w:bCs/>
          <w:sz w:val="24"/>
          <w:szCs w:val="24"/>
          <w:lang w:val="es"/>
        </w:rPr>
      </w:pPr>
      <w:r>
        <w:rPr>
          <w:rFonts w:ascii="Times New Roman" w:hAnsi="Times New Roman" w:cs="Times New Roman"/>
          <w:bCs/>
          <w:sz w:val="24"/>
          <w:szCs w:val="24"/>
          <w:lang w:val="es"/>
        </w:rPr>
        <w:t>Dieciocho meses:</w:t>
      </w:r>
    </w:p>
    <w:p w14:paraId="4534D582" w14:textId="16EFC521" w:rsidR="006B1554" w:rsidRPr="006B1554" w:rsidRDefault="006B1554" w:rsidP="006B1554">
      <w:pPr>
        <w:pStyle w:val="Prrafodelista"/>
        <w:numPr>
          <w:ilvl w:val="0"/>
          <w:numId w:val="20"/>
        </w:numPr>
        <w:tabs>
          <w:tab w:val="left" w:pos="1560"/>
        </w:tabs>
        <w:spacing w:after="0" w:line="276" w:lineRule="auto"/>
        <w:jc w:val="both"/>
        <w:rPr>
          <w:rFonts w:ascii="Times New Roman" w:hAnsi="Times New Roman" w:cs="Times New Roman"/>
          <w:bCs/>
          <w:sz w:val="24"/>
          <w:szCs w:val="24"/>
          <w:lang w:val="es"/>
        </w:rPr>
      </w:pPr>
      <w:r w:rsidRPr="006B1554">
        <w:rPr>
          <w:rFonts w:ascii="Times New Roman" w:hAnsi="Times New Roman" w:cs="Times New Roman"/>
          <w:bCs/>
          <w:sz w:val="24"/>
          <w:szCs w:val="24"/>
          <w:lang w:val="es"/>
        </w:rPr>
        <w:t>M</w:t>
      </w:r>
      <w:r w:rsidR="00A76CAE" w:rsidRPr="006B1554">
        <w:rPr>
          <w:rFonts w:ascii="Times New Roman" w:hAnsi="Times New Roman" w:cs="Times New Roman"/>
          <w:bCs/>
          <w:sz w:val="24"/>
          <w:szCs w:val="24"/>
          <w:lang w:val="es"/>
        </w:rPr>
        <w:t>odificar el manual de cumplimiento, y presentarlo a la CNBV</w:t>
      </w:r>
      <w:r w:rsidRPr="006B1554">
        <w:rPr>
          <w:rFonts w:ascii="Times New Roman" w:hAnsi="Times New Roman" w:cs="Times New Roman"/>
          <w:bCs/>
          <w:sz w:val="24"/>
          <w:szCs w:val="24"/>
          <w:lang w:val="es"/>
        </w:rPr>
        <w:t>.</w:t>
      </w:r>
    </w:p>
    <w:p w14:paraId="1FF0F70F" w14:textId="139B3B0B" w:rsidR="009F7276" w:rsidRPr="006B1554" w:rsidRDefault="00F11C0C" w:rsidP="006B1554">
      <w:pPr>
        <w:pStyle w:val="Prrafodelista"/>
        <w:numPr>
          <w:ilvl w:val="0"/>
          <w:numId w:val="20"/>
        </w:numPr>
        <w:tabs>
          <w:tab w:val="left" w:pos="1560"/>
        </w:tabs>
        <w:spacing w:after="0" w:line="276" w:lineRule="auto"/>
        <w:jc w:val="both"/>
        <w:rPr>
          <w:rFonts w:ascii="Times New Roman" w:hAnsi="Times New Roman" w:cs="Times New Roman"/>
          <w:bCs/>
          <w:sz w:val="24"/>
          <w:szCs w:val="24"/>
          <w:lang w:val="es"/>
        </w:rPr>
      </w:pPr>
      <w:r w:rsidRPr="006B1554">
        <w:rPr>
          <w:rFonts w:ascii="Times New Roman" w:hAnsi="Times New Roman" w:cs="Times New Roman"/>
          <w:bCs/>
          <w:sz w:val="24"/>
          <w:szCs w:val="24"/>
          <w:lang w:val="es"/>
        </w:rPr>
        <w:t xml:space="preserve"> </w:t>
      </w:r>
      <w:r w:rsidR="006B1554" w:rsidRPr="006B1554">
        <w:rPr>
          <w:rFonts w:ascii="Times New Roman" w:hAnsi="Times New Roman" w:cs="Times New Roman"/>
          <w:bCs/>
          <w:sz w:val="24"/>
          <w:szCs w:val="24"/>
          <w:lang w:val="es"/>
        </w:rPr>
        <w:t>Actualizar</w:t>
      </w:r>
      <w:r w:rsidR="0021273B" w:rsidRPr="006B1554">
        <w:rPr>
          <w:rFonts w:ascii="Times New Roman" w:hAnsi="Times New Roman" w:cs="Times New Roman"/>
          <w:bCs/>
          <w:sz w:val="24"/>
          <w:szCs w:val="24"/>
          <w:lang w:val="es"/>
        </w:rPr>
        <w:t xml:space="preserve"> los sistemas automatizados.</w:t>
      </w:r>
    </w:p>
    <w:p w14:paraId="0A0B880D" w14:textId="77777777" w:rsidR="00195BF3" w:rsidRPr="004F7CF0" w:rsidRDefault="00195BF3" w:rsidP="0067730B">
      <w:pPr>
        <w:spacing w:after="0" w:line="276" w:lineRule="auto"/>
        <w:ind w:firstLine="284"/>
        <w:jc w:val="both"/>
        <w:rPr>
          <w:rFonts w:ascii="Times New Roman" w:hAnsi="Times New Roman" w:cs="Times New Roman"/>
          <w:bCs/>
          <w:sz w:val="24"/>
          <w:szCs w:val="24"/>
          <w:lang w:val="es"/>
        </w:rPr>
      </w:pPr>
    </w:p>
    <w:p w14:paraId="24ACE3F8" w14:textId="66078C35" w:rsidR="00F11C0C" w:rsidRDefault="00F11C0C" w:rsidP="006B1554">
      <w:pPr>
        <w:pStyle w:val="Prrafodelista"/>
        <w:numPr>
          <w:ilvl w:val="0"/>
          <w:numId w:val="19"/>
        </w:numPr>
        <w:spacing w:after="0" w:line="276" w:lineRule="auto"/>
        <w:ind w:left="709" w:hanging="425"/>
        <w:jc w:val="both"/>
        <w:rPr>
          <w:rFonts w:ascii="Times New Roman" w:hAnsi="Times New Roman" w:cs="Times New Roman"/>
          <w:bCs/>
          <w:sz w:val="24"/>
          <w:szCs w:val="24"/>
          <w:lang w:val="es"/>
        </w:rPr>
      </w:pPr>
      <w:r>
        <w:rPr>
          <w:rFonts w:ascii="Times New Roman" w:hAnsi="Times New Roman" w:cs="Times New Roman"/>
          <w:bCs/>
          <w:sz w:val="24"/>
          <w:szCs w:val="24"/>
          <w:lang w:val="es"/>
        </w:rPr>
        <w:t>Doce meses:</w:t>
      </w:r>
    </w:p>
    <w:p w14:paraId="5D9B85A0" w14:textId="77777777" w:rsidR="006B1554" w:rsidRDefault="006B1554" w:rsidP="006B1554">
      <w:pPr>
        <w:pStyle w:val="Prrafodelista"/>
        <w:numPr>
          <w:ilvl w:val="0"/>
          <w:numId w:val="21"/>
        </w:numPr>
        <w:tabs>
          <w:tab w:val="left" w:pos="1560"/>
        </w:tabs>
        <w:spacing w:after="0" w:line="276" w:lineRule="auto"/>
        <w:jc w:val="both"/>
        <w:rPr>
          <w:rFonts w:ascii="Times New Roman" w:hAnsi="Times New Roman" w:cs="Times New Roman"/>
          <w:bCs/>
          <w:sz w:val="24"/>
          <w:szCs w:val="24"/>
          <w:lang w:val="es"/>
        </w:rPr>
      </w:pPr>
      <w:r>
        <w:rPr>
          <w:rFonts w:ascii="Times New Roman" w:hAnsi="Times New Roman" w:cs="Times New Roman"/>
          <w:bCs/>
          <w:sz w:val="24"/>
          <w:szCs w:val="24"/>
          <w:lang w:val="es"/>
        </w:rPr>
        <w:t>M</w:t>
      </w:r>
      <w:r w:rsidR="00E85E7D" w:rsidRPr="0078415D">
        <w:rPr>
          <w:rFonts w:ascii="Times New Roman" w:hAnsi="Times New Roman" w:cs="Times New Roman"/>
          <w:bCs/>
          <w:sz w:val="24"/>
          <w:szCs w:val="24"/>
          <w:lang w:val="es"/>
        </w:rPr>
        <w:t>odificar la metodología de evaluación de riesgos</w:t>
      </w:r>
      <w:r w:rsidR="008B69A7" w:rsidRPr="0078415D">
        <w:rPr>
          <w:rFonts w:ascii="Times New Roman" w:hAnsi="Times New Roman" w:cs="Times New Roman"/>
          <w:bCs/>
          <w:sz w:val="24"/>
          <w:szCs w:val="24"/>
          <w:lang w:val="es"/>
        </w:rPr>
        <w:t xml:space="preserve">, </w:t>
      </w:r>
    </w:p>
    <w:p w14:paraId="237A4ED1" w14:textId="776E6458" w:rsidR="0021273B" w:rsidRPr="00647891" w:rsidRDefault="006B1554" w:rsidP="006B1554">
      <w:pPr>
        <w:pStyle w:val="Prrafodelista"/>
        <w:numPr>
          <w:ilvl w:val="0"/>
          <w:numId w:val="21"/>
        </w:numPr>
        <w:tabs>
          <w:tab w:val="left" w:pos="1560"/>
        </w:tabs>
        <w:spacing w:after="0" w:line="276" w:lineRule="auto"/>
        <w:jc w:val="both"/>
        <w:rPr>
          <w:rFonts w:ascii="Times New Roman" w:hAnsi="Times New Roman" w:cs="Times New Roman"/>
          <w:bCs/>
          <w:sz w:val="24"/>
          <w:szCs w:val="24"/>
          <w:lang w:val="es"/>
        </w:rPr>
      </w:pPr>
      <w:r w:rsidRPr="006B1554">
        <w:rPr>
          <w:rFonts w:ascii="Times New Roman" w:hAnsi="Times New Roman" w:cs="Times New Roman"/>
          <w:bCs/>
          <w:sz w:val="24"/>
          <w:szCs w:val="24"/>
          <w:lang w:val="es"/>
        </w:rPr>
        <w:t>Contar, por parte de</w:t>
      </w:r>
      <w:r w:rsidR="008B69A7" w:rsidRPr="00647891">
        <w:rPr>
          <w:rFonts w:ascii="Times New Roman" w:hAnsi="Times New Roman" w:cs="Times New Roman"/>
          <w:bCs/>
          <w:sz w:val="24"/>
          <w:szCs w:val="24"/>
          <w:lang w:val="es"/>
        </w:rPr>
        <w:t xml:space="preserve"> los oficiales de cumplimiento de las Instituciones</w:t>
      </w:r>
      <w:r w:rsidRPr="006B1554">
        <w:rPr>
          <w:rFonts w:ascii="Times New Roman" w:hAnsi="Times New Roman" w:cs="Times New Roman"/>
          <w:bCs/>
          <w:sz w:val="24"/>
          <w:szCs w:val="24"/>
          <w:lang w:val="es"/>
        </w:rPr>
        <w:t xml:space="preserve">, </w:t>
      </w:r>
      <w:r w:rsidR="008B69A7" w:rsidRPr="00647891">
        <w:rPr>
          <w:rFonts w:ascii="Times New Roman" w:hAnsi="Times New Roman" w:cs="Times New Roman"/>
          <w:bCs/>
          <w:sz w:val="24"/>
          <w:szCs w:val="24"/>
          <w:lang w:val="es"/>
        </w:rPr>
        <w:t>con la certificación vigente de la CNBV en materia de PLD/FT.</w:t>
      </w:r>
    </w:p>
    <w:p w14:paraId="5023FB27" w14:textId="77777777" w:rsidR="00195BF3" w:rsidRPr="004F7CF0" w:rsidRDefault="00195BF3" w:rsidP="0067730B">
      <w:pPr>
        <w:spacing w:after="0" w:line="276" w:lineRule="auto"/>
        <w:ind w:firstLine="284"/>
        <w:jc w:val="both"/>
        <w:rPr>
          <w:rFonts w:ascii="Times New Roman" w:hAnsi="Times New Roman" w:cs="Times New Roman"/>
          <w:bCs/>
          <w:sz w:val="24"/>
          <w:szCs w:val="24"/>
          <w:lang w:val="es"/>
        </w:rPr>
      </w:pPr>
    </w:p>
    <w:p w14:paraId="7E9FDB4D" w14:textId="3067E169" w:rsidR="00BB1E71" w:rsidRPr="004F7CF0" w:rsidRDefault="00BB1E71" w:rsidP="00195BF3">
      <w:pPr>
        <w:spacing w:after="0" w:line="276" w:lineRule="auto"/>
        <w:contextualSpacing/>
        <w:jc w:val="center"/>
        <w:rPr>
          <w:rFonts w:ascii="Times New Roman" w:hAnsi="Times New Roman" w:cs="Times New Roman"/>
          <w:sz w:val="24"/>
          <w:szCs w:val="24"/>
        </w:rPr>
      </w:pPr>
      <w:r w:rsidRPr="004F7CF0">
        <w:rPr>
          <w:rFonts w:ascii="Times New Roman" w:hAnsi="Times New Roman" w:cs="Times New Roman"/>
          <w:sz w:val="24"/>
          <w:szCs w:val="24"/>
          <w:lang w:val="es"/>
        </w:rPr>
        <w:t>*   *   *   *</w:t>
      </w:r>
    </w:p>
    <w:p w14:paraId="55AD0A57" w14:textId="77777777" w:rsidR="00BB1E71" w:rsidRPr="004F7CF0" w:rsidRDefault="00BB1E71" w:rsidP="00A60602">
      <w:pPr>
        <w:spacing w:after="0" w:line="276" w:lineRule="auto"/>
        <w:contextualSpacing/>
        <w:jc w:val="right"/>
        <w:rPr>
          <w:rFonts w:ascii="Times New Roman" w:hAnsi="Times New Roman" w:cs="Times New Roman"/>
          <w:sz w:val="24"/>
          <w:szCs w:val="24"/>
        </w:rPr>
      </w:pPr>
      <w:r w:rsidRPr="004F7CF0">
        <w:rPr>
          <w:rFonts w:ascii="Times New Roman" w:hAnsi="Times New Roman" w:cs="Times New Roman"/>
          <w:sz w:val="24"/>
          <w:szCs w:val="24"/>
          <w:lang w:val="es"/>
        </w:rPr>
        <w:t>Campa &amp; Mendoza</w:t>
      </w:r>
    </w:p>
    <w:p w14:paraId="457383BA" w14:textId="05A31C85" w:rsidR="00BB1E71" w:rsidRPr="004F7CF0" w:rsidRDefault="00326D1C" w:rsidP="00A60602">
      <w:pPr>
        <w:spacing w:after="0" w:line="276" w:lineRule="auto"/>
        <w:contextualSpacing/>
        <w:jc w:val="right"/>
        <w:rPr>
          <w:rStyle w:val="Hipervnculo"/>
          <w:rFonts w:ascii="Times New Roman" w:hAnsi="Times New Roman" w:cs="Times New Roman"/>
          <w:sz w:val="24"/>
          <w:szCs w:val="24"/>
          <w:lang w:val="es"/>
        </w:rPr>
      </w:pPr>
      <w:hyperlink r:id="rId12" w:history="1">
        <w:r w:rsidR="00BB1E71" w:rsidRPr="004F7CF0">
          <w:rPr>
            <w:rStyle w:val="Hipervnculo"/>
            <w:rFonts w:ascii="Times New Roman" w:hAnsi="Times New Roman" w:cs="Times New Roman"/>
            <w:sz w:val="24"/>
            <w:szCs w:val="24"/>
            <w:lang w:val="es"/>
          </w:rPr>
          <w:t>contacto@campaymendoza.com</w:t>
        </w:r>
      </w:hyperlink>
    </w:p>
    <w:p w14:paraId="2E3DCE3D" w14:textId="77777777" w:rsidR="00A037F4" w:rsidRPr="004F7CF0" w:rsidRDefault="00A037F4" w:rsidP="00A60602">
      <w:pPr>
        <w:spacing w:after="0" w:line="276" w:lineRule="auto"/>
        <w:contextualSpacing/>
        <w:jc w:val="right"/>
        <w:rPr>
          <w:rFonts w:ascii="Times New Roman" w:hAnsi="Times New Roman" w:cs="Times New Roman"/>
          <w:sz w:val="24"/>
          <w:szCs w:val="24"/>
        </w:rPr>
      </w:pPr>
    </w:p>
    <w:p w14:paraId="256FC588" w14:textId="03BFD9E5" w:rsidR="00D524B6" w:rsidRPr="004F7CF0" w:rsidRDefault="00BB1E71" w:rsidP="00A60602">
      <w:pPr>
        <w:spacing w:after="0" w:line="276" w:lineRule="auto"/>
        <w:contextualSpacing/>
        <w:rPr>
          <w:rFonts w:ascii="Times New Roman" w:hAnsi="Times New Roman" w:cs="Times New Roman"/>
          <w:sz w:val="24"/>
          <w:szCs w:val="24"/>
        </w:rPr>
      </w:pPr>
      <w:r w:rsidRPr="004F7CF0">
        <w:rPr>
          <w:rFonts w:ascii="Times New Roman" w:hAnsi="Times New Roman" w:cs="Times New Roman"/>
          <w:sz w:val="24"/>
          <w:szCs w:val="24"/>
          <w:lang w:val="es"/>
        </w:rPr>
        <w:t>Este documento no constituye asesoramiento legal.</w:t>
      </w:r>
    </w:p>
    <w:sectPr w:rsidR="00D524B6" w:rsidRPr="004F7CF0" w:rsidSect="00A60602">
      <w:headerReference w:type="default" r:id="rId13"/>
      <w:footerReference w:type="default" r:id="rId14"/>
      <w:headerReference w:type="first" r:id="rId15"/>
      <w:footerReference w:type="first" r:id="rId16"/>
      <w:pgSz w:w="12240" w:h="15840" w:code="1"/>
      <w:pgMar w:top="2593" w:right="1701" w:bottom="2977" w:left="1701" w:header="709" w:footer="6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286D81" w14:textId="77777777" w:rsidR="006F6D09" w:rsidRDefault="006F6D09" w:rsidP="00BB1E71">
      <w:pPr>
        <w:spacing w:after="0" w:line="240" w:lineRule="auto"/>
      </w:pPr>
      <w:r>
        <w:rPr>
          <w:lang w:val="es"/>
        </w:rPr>
        <w:separator/>
      </w:r>
    </w:p>
  </w:endnote>
  <w:endnote w:type="continuationSeparator" w:id="0">
    <w:p w14:paraId="16427454" w14:textId="77777777" w:rsidR="006F6D09" w:rsidRDefault="006F6D09" w:rsidP="00BB1E71">
      <w:pPr>
        <w:spacing w:after="0" w:line="240" w:lineRule="auto"/>
      </w:pPr>
      <w:r>
        <w:rPr>
          <w:lang w:val="es"/>
        </w:rPr>
        <w:continuationSeparator/>
      </w:r>
    </w:p>
  </w:endnote>
  <w:endnote w:type="continuationNotice" w:id="1">
    <w:p w14:paraId="4AC172AB" w14:textId="77777777" w:rsidR="006F6D09" w:rsidRDefault="006F6D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rriweather">
    <w:charset w:val="00"/>
    <w:family w:val="auto"/>
    <w:pitch w:val="variable"/>
    <w:sig w:usb0="20000207" w:usb1="00000002"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0951506"/>
      <w:docPartObj>
        <w:docPartGallery w:val="Page Numbers (Bottom of Page)"/>
        <w:docPartUnique/>
      </w:docPartObj>
    </w:sdtPr>
    <w:sdtEndPr/>
    <w:sdtContent>
      <w:p w14:paraId="5031D05D" w14:textId="77777777" w:rsidR="004F775B" w:rsidRDefault="0027411A">
        <w:pPr>
          <w:pStyle w:val="Piedepgina"/>
          <w:jc w:val="center"/>
          <w:rPr>
            <w:rFonts w:ascii="Times New Roman" w:hAnsi="Times New Roman" w:cs="Times New Roman"/>
          </w:rPr>
        </w:pPr>
        <w:r w:rsidRPr="001D777B">
          <w:rPr>
            <w:noProof/>
            <w:lang w:val="es"/>
          </w:rPr>
          <w:drawing>
            <wp:anchor distT="0" distB="0" distL="114300" distR="114300" simplePos="0" relativeHeight="251658242" behindDoc="1" locked="0" layoutInCell="1" allowOverlap="1" wp14:anchorId="04FEE25F" wp14:editId="413F1B99">
              <wp:simplePos x="0" y="0"/>
              <wp:positionH relativeFrom="margin">
                <wp:align>left</wp:align>
              </wp:positionH>
              <wp:positionV relativeFrom="paragraph">
                <wp:posOffset>77010</wp:posOffset>
              </wp:positionV>
              <wp:extent cx="5667154" cy="1295934"/>
              <wp:effectExtent l="0" t="0" r="0" b="0"/>
              <wp:wrapNone/>
              <wp:docPr id="1994997117" name="Imagen 1994997117"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667154" cy="1295934"/>
                      </a:xfrm>
                      <a:prstGeom prst="rect">
                        <a:avLst/>
                      </a:prstGeom>
                    </pic:spPr>
                  </pic:pic>
                </a:graphicData>
              </a:graphic>
              <wp14:sizeRelH relativeFrom="page">
                <wp14:pctWidth>0</wp14:pctWidth>
              </wp14:sizeRelH>
              <wp14:sizeRelV relativeFrom="page">
                <wp14:pctHeight>0</wp14:pctHeight>
              </wp14:sizeRelV>
            </wp:anchor>
          </w:drawing>
        </w:r>
        <w:r w:rsidRPr="00952327">
          <w:rPr>
            <w:lang w:val="es"/>
          </w:rPr>
          <w:fldChar w:fldCharType="begin"/>
        </w:r>
        <w:r w:rsidRPr="00952327">
          <w:rPr>
            <w:lang w:val="es"/>
          </w:rPr>
          <w:instrText>PAGE   \* MERGEFORMAT</w:instrText>
        </w:r>
        <w:r w:rsidRPr="00952327">
          <w:rPr>
            <w:lang w:val="es"/>
          </w:rPr>
          <w:fldChar w:fldCharType="separate"/>
        </w:r>
        <w:r w:rsidRPr="00952327">
          <w:rPr>
            <w:lang w:val="es"/>
          </w:rPr>
          <w:t>2</w:t>
        </w:r>
        <w:r w:rsidRPr="00952327">
          <w:rPr>
            <w:lang w:val="es"/>
          </w:rPr>
          <w:fldChar w:fldCharType="end"/>
        </w:r>
      </w:p>
      <w:p w14:paraId="2213725A" w14:textId="77777777" w:rsidR="004F775B" w:rsidRDefault="004F775B">
        <w:pPr>
          <w:pStyle w:val="Piedepgina"/>
          <w:jc w:val="center"/>
          <w:rPr>
            <w:rFonts w:ascii="Times New Roman" w:hAnsi="Times New Roman" w:cs="Times New Roman"/>
          </w:rPr>
        </w:pPr>
      </w:p>
      <w:p w14:paraId="5F16B61E" w14:textId="77777777" w:rsidR="004F775B" w:rsidRPr="00952327" w:rsidRDefault="004F775B">
        <w:pPr>
          <w:pStyle w:val="Piedepgina"/>
          <w:jc w:val="center"/>
          <w:rPr>
            <w:rFonts w:ascii="Times New Roman" w:hAnsi="Times New Roman" w:cs="Times New Roman"/>
          </w:rPr>
        </w:pPr>
      </w:p>
      <w:p w14:paraId="05558B6C" w14:textId="77777777" w:rsidR="004F775B" w:rsidRDefault="004F775B">
        <w:pPr>
          <w:pStyle w:val="Piedepgina"/>
          <w:jc w:val="center"/>
        </w:pPr>
      </w:p>
      <w:p w14:paraId="3DD25EA3" w14:textId="77777777" w:rsidR="004F775B" w:rsidRDefault="004F775B">
        <w:pPr>
          <w:pStyle w:val="Piedepgina"/>
          <w:jc w:val="center"/>
        </w:pPr>
      </w:p>
      <w:p w14:paraId="4A857A17" w14:textId="77777777" w:rsidR="004F775B" w:rsidRDefault="00326D1C">
        <w:pPr>
          <w:pStyle w:val="Piedepgina"/>
          <w:jc w:val="center"/>
        </w:pPr>
      </w:p>
    </w:sdtContent>
  </w:sdt>
  <w:p w14:paraId="7DA9AD40" w14:textId="77777777" w:rsidR="004F775B" w:rsidRDefault="004F775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6F673" w14:textId="77777777" w:rsidR="004F775B" w:rsidRDefault="0027411A">
    <w:pPr>
      <w:pStyle w:val="Piedepgina"/>
    </w:pPr>
    <w:r w:rsidRPr="001D777B">
      <w:rPr>
        <w:noProof/>
        <w:lang w:val="es"/>
      </w:rPr>
      <w:drawing>
        <wp:anchor distT="0" distB="0" distL="114300" distR="114300" simplePos="0" relativeHeight="251658241" behindDoc="1" locked="0" layoutInCell="1" allowOverlap="1" wp14:anchorId="7ACAB530" wp14:editId="4D95F4F6">
          <wp:simplePos x="0" y="0"/>
          <wp:positionH relativeFrom="margin">
            <wp:align>right</wp:align>
          </wp:positionH>
          <wp:positionV relativeFrom="paragraph">
            <wp:posOffset>-1279601</wp:posOffset>
          </wp:positionV>
          <wp:extent cx="5667154" cy="1295934"/>
          <wp:effectExtent l="0" t="0" r="0" b="0"/>
          <wp:wrapNone/>
          <wp:docPr id="1370946292" name="Imagen 1370946292"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667154" cy="129593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6CCF3" w14:textId="77777777" w:rsidR="006F6D09" w:rsidRDefault="006F6D09" w:rsidP="00BB1E71">
      <w:pPr>
        <w:spacing w:after="0" w:line="240" w:lineRule="auto"/>
      </w:pPr>
      <w:r>
        <w:rPr>
          <w:lang w:val="es"/>
        </w:rPr>
        <w:separator/>
      </w:r>
    </w:p>
  </w:footnote>
  <w:footnote w:type="continuationSeparator" w:id="0">
    <w:p w14:paraId="142A4229" w14:textId="77777777" w:rsidR="006F6D09" w:rsidRDefault="006F6D09" w:rsidP="00BB1E71">
      <w:pPr>
        <w:spacing w:after="0" w:line="240" w:lineRule="auto"/>
      </w:pPr>
      <w:r>
        <w:rPr>
          <w:lang w:val="es"/>
        </w:rPr>
        <w:continuationSeparator/>
      </w:r>
    </w:p>
  </w:footnote>
  <w:footnote w:type="continuationNotice" w:id="1">
    <w:p w14:paraId="065AF09D" w14:textId="77777777" w:rsidR="006F6D09" w:rsidRDefault="006F6D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F71B5" w14:textId="77777777" w:rsidR="004F775B" w:rsidRDefault="0027411A">
    <w:pPr>
      <w:pStyle w:val="Encabezado"/>
    </w:pPr>
    <w:r>
      <w:rPr>
        <w:noProof/>
        <w:lang w:val="es"/>
      </w:rPr>
      <w:drawing>
        <wp:anchor distT="0" distB="0" distL="114300" distR="114300" simplePos="0" relativeHeight="251658240" behindDoc="1" locked="0" layoutInCell="1" allowOverlap="1" wp14:anchorId="771E21BE" wp14:editId="5A017553">
          <wp:simplePos x="0" y="0"/>
          <wp:positionH relativeFrom="column">
            <wp:posOffset>-1067256</wp:posOffset>
          </wp:positionH>
          <wp:positionV relativeFrom="paragraph">
            <wp:posOffset>-436701</wp:posOffset>
          </wp:positionV>
          <wp:extent cx="7727324" cy="1464502"/>
          <wp:effectExtent l="0" t="0" r="0" b="0"/>
          <wp:wrapNone/>
          <wp:docPr id="1128171091" name="Imagen 1128171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7727324" cy="1464502"/>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3D03B" w14:textId="77777777" w:rsidR="004F775B" w:rsidRDefault="0027411A">
    <w:pPr>
      <w:pStyle w:val="Encabezado"/>
    </w:pPr>
    <w:r w:rsidRPr="00C32CC9">
      <w:rPr>
        <w:noProof/>
        <w:lang w:val="es"/>
      </w:rPr>
      <w:drawing>
        <wp:inline distT="0" distB="0" distL="0" distR="0" wp14:anchorId="2D128231" wp14:editId="2D734656">
          <wp:extent cx="2862470" cy="1114805"/>
          <wp:effectExtent l="0" t="0" r="0" b="0"/>
          <wp:docPr id="693944350" name="Imagen 693944350"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descr="Texto&#10;&#10;Descripción generada automá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10504" cy="117245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633B7"/>
    <w:multiLevelType w:val="hybridMultilevel"/>
    <w:tmpl w:val="6038BD88"/>
    <w:lvl w:ilvl="0" w:tplc="BC6E542A">
      <w:start w:val="1"/>
      <w:numFmt w:val="lowerLetter"/>
      <w:lvlText w:val="%1."/>
      <w:lvlJc w:val="left"/>
      <w:pPr>
        <w:ind w:left="1129" w:hanging="360"/>
      </w:pPr>
      <w:rPr>
        <w:rFonts w:hint="default"/>
      </w:rPr>
    </w:lvl>
    <w:lvl w:ilvl="1" w:tplc="080A0019" w:tentative="1">
      <w:start w:val="1"/>
      <w:numFmt w:val="lowerLetter"/>
      <w:lvlText w:val="%2."/>
      <w:lvlJc w:val="left"/>
      <w:pPr>
        <w:ind w:left="1849" w:hanging="360"/>
      </w:pPr>
    </w:lvl>
    <w:lvl w:ilvl="2" w:tplc="080A001B" w:tentative="1">
      <w:start w:val="1"/>
      <w:numFmt w:val="lowerRoman"/>
      <w:lvlText w:val="%3."/>
      <w:lvlJc w:val="right"/>
      <w:pPr>
        <w:ind w:left="2569" w:hanging="180"/>
      </w:pPr>
    </w:lvl>
    <w:lvl w:ilvl="3" w:tplc="080A000F" w:tentative="1">
      <w:start w:val="1"/>
      <w:numFmt w:val="decimal"/>
      <w:lvlText w:val="%4."/>
      <w:lvlJc w:val="left"/>
      <w:pPr>
        <w:ind w:left="3289" w:hanging="360"/>
      </w:pPr>
    </w:lvl>
    <w:lvl w:ilvl="4" w:tplc="080A0019" w:tentative="1">
      <w:start w:val="1"/>
      <w:numFmt w:val="lowerLetter"/>
      <w:lvlText w:val="%5."/>
      <w:lvlJc w:val="left"/>
      <w:pPr>
        <w:ind w:left="4009" w:hanging="360"/>
      </w:pPr>
    </w:lvl>
    <w:lvl w:ilvl="5" w:tplc="080A001B" w:tentative="1">
      <w:start w:val="1"/>
      <w:numFmt w:val="lowerRoman"/>
      <w:lvlText w:val="%6."/>
      <w:lvlJc w:val="right"/>
      <w:pPr>
        <w:ind w:left="4729" w:hanging="180"/>
      </w:pPr>
    </w:lvl>
    <w:lvl w:ilvl="6" w:tplc="080A000F" w:tentative="1">
      <w:start w:val="1"/>
      <w:numFmt w:val="decimal"/>
      <w:lvlText w:val="%7."/>
      <w:lvlJc w:val="left"/>
      <w:pPr>
        <w:ind w:left="5449" w:hanging="360"/>
      </w:pPr>
    </w:lvl>
    <w:lvl w:ilvl="7" w:tplc="080A0019" w:tentative="1">
      <w:start w:val="1"/>
      <w:numFmt w:val="lowerLetter"/>
      <w:lvlText w:val="%8."/>
      <w:lvlJc w:val="left"/>
      <w:pPr>
        <w:ind w:left="6169" w:hanging="360"/>
      </w:pPr>
    </w:lvl>
    <w:lvl w:ilvl="8" w:tplc="080A001B" w:tentative="1">
      <w:start w:val="1"/>
      <w:numFmt w:val="lowerRoman"/>
      <w:lvlText w:val="%9."/>
      <w:lvlJc w:val="right"/>
      <w:pPr>
        <w:ind w:left="6889" w:hanging="180"/>
      </w:pPr>
    </w:lvl>
  </w:abstractNum>
  <w:abstractNum w:abstractNumId="1" w15:restartNumberingAfterBreak="0">
    <w:nsid w:val="0F154FD9"/>
    <w:multiLevelType w:val="hybridMultilevel"/>
    <w:tmpl w:val="1EB0B514"/>
    <w:lvl w:ilvl="0" w:tplc="A0DA452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CC97763"/>
    <w:multiLevelType w:val="hybridMultilevel"/>
    <w:tmpl w:val="17C0A27E"/>
    <w:lvl w:ilvl="0" w:tplc="49EC5BEE">
      <w:start w:val="1"/>
      <w:numFmt w:val="bullet"/>
      <w:lvlText w:val="-"/>
      <w:lvlJc w:val="left"/>
      <w:pPr>
        <w:ind w:left="1494" w:hanging="360"/>
      </w:pPr>
      <w:rPr>
        <w:rFonts w:ascii="Arial" w:eastAsiaTheme="minorHAnsi" w:hAnsi="Arial" w:cs="Arial" w:hint="default"/>
      </w:rPr>
    </w:lvl>
    <w:lvl w:ilvl="1" w:tplc="080A0003" w:tentative="1">
      <w:start w:val="1"/>
      <w:numFmt w:val="bullet"/>
      <w:lvlText w:val="o"/>
      <w:lvlJc w:val="left"/>
      <w:pPr>
        <w:ind w:left="2214" w:hanging="360"/>
      </w:pPr>
      <w:rPr>
        <w:rFonts w:ascii="Courier New" w:hAnsi="Courier New" w:cs="Courier New" w:hint="default"/>
      </w:rPr>
    </w:lvl>
    <w:lvl w:ilvl="2" w:tplc="080A0005" w:tentative="1">
      <w:start w:val="1"/>
      <w:numFmt w:val="bullet"/>
      <w:lvlText w:val=""/>
      <w:lvlJc w:val="left"/>
      <w:pPr>
        <w:ind w:left="2934" w:hanging="360"/>
      </w:pPr>
      <w:rPr>
        <w:rFonts w:ascii="Wingdings" w:hAnsi="Wingdings" w:hint="default"/>
      </w:rPr>
    </w:lvl>
    <w:lvl w:ilvl="3" w:tplc="080A0001" w:tentative="1">
      <w:start w:val="1"/>
      <w:numFmt w:val="bullet"/>
      <w:lvlText w:val=""/>
      <w:lvlJc w:val="left"/>
      <w:pPr>
        <w:ind w:left="3654" w:hanging="360"/>
      </w:pPr>
      <w:rPr>
        <w:rFonts w:ascii="Symbol" w:hAnsi="Symbol" w:hint="default"/>
      </w:rPr>
    </w:lvl>
    <w:lvl w:ilvl="4" w:tplc="080A0003" w:tentative="1">
      <w:start w:val="1"/>
      <w:numFmt w:val="bullet"/>
      <w:lvlText w:val="o"/>
      <w:lvlJc w:val="left"/>
      <w:pPr>
        <w:ind w:left="4374" w:hanging="360"/>
      </w:pPr>
      <w:rPr>
        <w:rFonts w:ascii="Courier New" w:hAnsi="Courier New" w:cs="Courier New" w:hint="default"/>
      </w:rPr>
    </w:lvl>
    <w:lvl w:ilvl="5" w:tplc="080A0005" w:tentative="1">
      <w:start w:val="1"/>
      <w:numFmt w:val="bullet"/>
      <w:lvlText w:val=""/>
      <w:lvlJc w:val="left"/>
      <w:pPr>
        <w:ind w:left="5094" w:hanging="360"/>
      </w:pPr>
      <w:rPr>
        <w:rFonts w:ascii="Wingdings" w:hAnsi="Wingdings" w:hint="default"/>
      </w:rPr>
    </w:lvl>
    <w:lvl w:ilvl="6" w:tplc="080A0001" w:tentative="1">
      <w:start w:val="1"/>
      <w:numFmt w:val="bullet"/>
      <w:lvlText w:val=""/>
      <w:lvlJc w:val="left"/>
      <w:pPr>
        <w:ind w:left="5814" w:hanging="360"/>
      </w:pPr>
      <w:rPr>
        <w:rFonts w:ascii="Symbol" w:hAnsi="Symbol" w:hint="default"/>
      </w:rPr>
    </w:lvl>
    <w:lvl w:ilvl="7" w:tplc="080A0003" w:tentative="1">
      <w:start w:val="1"/>
      <w:numFmt w:val="bullet"/>
      <w:lvlText w:val="o"/>
      <w:lvlJc w:val="left"/>
      <w:pPr>
        <w:ind w:left="6534" w:hanging="360"/>
      </w:pPr>
      <w:rPr>
        <w:rFonts w:ascii="Courier New" w:hAnsi="Courier New" w:cs="Courier New" w:hint="default"/>
      </w:rPr>
    </w:lvl>
    <w:lvl w:ilvl="8" w:tplc="080A0005" w:tentative="1">
      <w:start w:val="1"/>
      <w:numFmt w:val="bullet"/>
      <w:lvlText w:val=""/>
      <w:lvlJc w:val="left"/>
      <w:pPr>
        <w:ind w:left="7254" w:hanging="360"/>
      </w:pPr>
      <w:rPr>
        <w:rFonts w:ascii="Wingdings" w:hAnsi="Wingdings" w:hint="default"/>
      </w:rPr>
    </w:lvl>
  </w:abstractNum>
  <w:abstractNum w:abstractNumId="3" w15:restartNumberingAfterBreak="0">
    <w:nsid w:val="1D7120F3"/>
    <w:multiLevelType w:val="hybridMultilevel"/>
    <w:tmpl w:val="876479F2"/>
    <w:lvl w:ilvl="0" w:tplc="DA6AC6A6">
      <w:start w:val="3"/>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DBD0D12"/>
    <w:multiLevelType w:val="hybridMultilevel"/>
    <w:tmpl w:val="1AB88E42"/>
    <w:lvl w:ilvl="0" w:tplc="080A0005">
      <w:start w:val="1"/>
      <w:numFmt w:val="bullet"/>
      <w:lvlText w:val=""/>
      <w:lvlJc w:val="left"/>
      <w:pPr>
        <w:ind w:left="1077" w:hanging="360"/>
      </w:pPr>
      <w:rPr>
        <w:rFonts w:ascii="Wingdings" w:hAnsi="Wingdings" w:hint="default"/>
      </w:rPr>
    </w:lvl>
    <w:lvl w:ilvl="1" w:tplc="080A0003" w:tentative="1">
      <w:start w:val="1"/>
      <w:numFmt w:val="bullet"/>
      <w:lvlText w:val="o"/>
      <w:lvlJc w:val="left"/>
      <w:pPr>
        <w:ind w:left="1797" w:hanging="360"/>
      </w:pPr>
      <w:rPr>
        <w:rFonts w:ascii="Courier New" w:hAnsi="Courier New" w:cs="Courier New" w:hint="default"/>
      </w:rPr>
    </w:lvl>
    <w:lvl w:ilvl="2" w:tplc="080A0005" w:tentative="1">
      <w:start w:val="1"/>
      <w:numFmt w:val="bullet"/>
      <w:lvlText w:val=""/>
      <w:lvlJc w:val="left"/>
      <w:pPr>
        <w:ind w:left="2517" w:hanging="360"/>
      </w:pPr>
      <w:rPr>
        <w:rFonts w:ascii="Wingdings" w:hAnsi="Wingdings" w:hint="default"/>
      </w:rPr>
    </w:lvl>
    <w:lvl w:ilvl="3" w:tplc="080A0001" w:tentative="1">
      <w:start w:val="1"/>
      <w:numFmt w:val="bullet"/>
      <w:lvlText w:val=""/>
      <w:lvlJc w:val="left"/>
      <w:pPr>
        <w:ind w:left="3237" w:hanging="360"/>
      </w:pPr>
      <w:rPr>
        <w:rFonts w:ascii="Symbol" w:hAnsi="Symbol" w:hint="default"/>
      </w:rPr>
    </w:lvl>
    <w:lvl w:ilvl="4" w:tplc="080A0003" w:tentative="1">
      <w:start w:val="1"/>
      <w:numFmt w:val="bullet"/>
      <w:lvlText w:val="o"/>
      <w:lvlJc w:val="left"/>
      <w:pPr>
        <w:ind w:left="3957" w:hanging="360"/>
      </w:pPr>
      <w:rPr>
        <w:rFonts w:ascii="Courier New" w:hAnsi="Courier New" w:cs="Courier New" w:hint="default"/>
      </w:rPr>
    </w:lvl>
    <w:lvl w:ilvl="5" w:tplc="080A0005" w:tentative="1">
      <w:start w:val="1"/>
      <w:numFmt w:val="bullet"/>
      <w:lvlText w:val=""/>
      <w:lvlJc w:val="left"/>
      <w:pPr>
        <w:ind w:left="4677" w:hanging="360"/>
      </w:pPr>
      <w:rPr>
        <w:rFonts w:ascii="Wingdings" w:hAnsi="Wingdings" w:hint="default"/>
      </w:rPr>
    </w:lvl>
    <w:lvl w:ilvl="6" w:tplc="080A0001" w:tentative="1">
      <w:start w:val="1"/>
      <w:numFmt w:val="bullet"/>
      <w:lvlText w:val=""/>
      <w:lvlJc w:val="left"/>
      <w:pPr>
        <w:ind w:left="5397" w:hanging="360"/>
      </w:pPr>
      <w:rPr>
        <w:rFonts w:ascii="Symbol" w:hAnsi="Symbol" w:hint="default"/>
      </w:rPr>
    </w:lvl>
    <w:lvl w:ilvl="7" w:tplc="080A0003" w:tentative="1">
      <w:start w:val="1"/>
      <w:numFmt w:val="bullet"/>
      <w:lvlText w:val="o"/>
      <w:lvlJc w:val="left"/>
      <w:pPr>
        <w:ind w:left="6117" w:hanging="360"/>
      </w:pPr>
      <w:rPr>
        <w:rFonts w:ascii="Courier New" w:hAnsi="Courier New" w:cs="Courier New" w:hint="default"/>
      </w:rPr>
    </w:lvl>
    <w:lvl w:ilvl="8" w:tplc="080A0005" w:tentative="1">
      <w:start w:val="1"/>
      <w:numFmt w:val="bullet"/>
      <w:lvlText w:val=""/>
      <w:lvlJc w:val="left"/>
      <w:pPr>
        <w:ind w:left="6837" w:hanging="360"/>
      </w:pPr>
      <w:rPr>
        <w:rFonts w:ascii="Wingdings" w:hAnsi="Wingdings" w:hint="default"/>
      </w:rPr>
    </w:lvl>
  </w:abstractNum>
  <w:abstractNum w:abstractNumId="5" w15:restartNumberingAfterBreak="0">
    <w:nsid w:val="228630D9"/>
    <w:multiLevelType w:val="hybridMultilevel"/>
    <w:tmpl w:val="6038BD88"/>
    <w:lvl w:ilvl="0" w:tplc="FFFFFFFF">
      <w:start w:val="1"/>
      <w:numFmt w:val="lowerLetter"/>
      <w:lvlText w:val="%1."/>
      <w:lvlJc w:val="left"/>
      <w:pPr>
        <w:ind w:left="1129" w:hanging="360"/>
      </w:pPr>
      <w:rPr>
        <w:rFonts w:hint="default"/>
      </w:rPr>
    </w:lvl>
    <w:lvl w:ilvl="1" w:tplc="FFFFFFFF" w:tentative="1">
      <w:start w:val="1"/>
      <w:numFmt w:val="lowerLetter"/>
      <w:lvlText w:val="%2."/>
      <w:lvlJc w:val="left"/>
      <w:pPr>
        <w:ind w:left="1849" w:hanging="360"/>
      </w:pPr>
    </w:lvl>
    <w:lvl w:ilvl="2" w:tplc="FFFFFFFF" w:tentative="1">
      <w:start w:val="1"/>
      <w:numFmt w:val="lowerRoman"/>
      <w:lvlText w:val="%3."/>
      <w:lvlJc w:val="right"/>
      <w:pPr>
        <w:ind w:left="2569" w:hanging="180"/>
      </w:pPr>
    </w:lvl>
    <w:lvl w:ilvl="3" w:tplc="FFFFFFFF" w:tentative="1">
      <w:start w:val="1"/>
      <w:numFmt w:val="decimal"/>
      <w:lvlText w:val="%4."/>
      <w:lvlJc w:val="left"/>
      <w:pPr>
        <w:ind w:left="3289" w:hanging="360"/>
      </w:pPr>
    </w:lvl>
    <w:lvl w:ilvl="4" w:tplc="FFFFFFFF" w:tentative="1">
      <w:start w:val="1"/>
      <w:numFmt w:val="lowerLetter"/>
      <w:lvlText w:val="%5."/>
      <w:lvlJc w:val="left"/>
      <w:pPr>
        <w:ind w:left="4009" w:hanging="360"/>
      </w:pPr>
    </w:lvl>
    <w:lvl w:ilvl="5" w:tplc="FFFFFFFF" w:tentative="1">
      <w:start w:val="1"/>
      <w:numFmt w:val="lowerRoman"/>
      <w:lvlText w:val="%6."/>
      <w:lvlJc w:val="right"/>
      <w:pPr>
        <w:ind w:left="4729" w:hanging="180"/>
      </w:pPr>
    </w:lvl>
    <w:lvl w:ilvl="6" w:tplc="FFFFFFFF" w:tentative="1">
      <w:start w:val="1"/>
      <w:numFmt w:val="decimal"/>
      <w:lvlText w:val="%7."/>
      <w:lvlJc w:val="left"/>
      <w:pPr>
        <w:ind w:left="5449" w:hanging="360"/>
      </w:pPr>
    </w:lvl>
    <w:lvl w:ilvl="7" w:tplc="FFFFFFFF" w:tentative="1">
      <w:start w:val="1"/>
      <w:numFmt w:val="lowerLetter"/>
      <w:lvlText w:val="%8."/>
      <w:lvlJc w:val="left"/>
      <w:pPr>
        <w:ind w:left="6169" w:hanging="360"/>
      </w:pPr>
    </w:lvl>
    <w:lvl w:ilvl="8" w:tplc="FFFFFFFF" w:tentative="1">
      <w:start w:val="1"/>
      <w:numFmt w:val="lowerRoman"/>
      <w:lvlText w:val="%9."/>
      <w:lvlJc w:val="right"/>
      <w:pPr>
        <w:ind w:left="6889" w:hanging="180"/>
      </w:pPr>
    </w:lvl>
  </w:abstractNum>
  <w:abstractNum w:abstractNumId="6" w15:restartNumberingAfterBreak="0">
    <w:nsid w:val="28FA2DEE"/>
    <w:multiLevelType w:val="hybridMultilevel"/>
    <w:tmpl w:val="0E16B6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C811A66"/>
    <w:multiLevelType w:val="hybridMultilevel"/>
    <w:tmpl w:val="EB96769C"/>
    <w:lvl w:ilvl="0" w:tplc="E88035A6">
      <w:start w:val="1"/>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3C833B9"/>
    <w:multiLevelType w:val="hybridMultilevel"/>
    <w:tmpl w:val="E820B2F2"/>
    <w:lvl w:ilvl="0" w:tplc="87FAEA16">
      <w:start w:val="1"/>
      <w:numFmt w:val="low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9" w15:restartNumberingAfterBreak="0">
    <w:nsid w:val="38DE6D90"/>
    <w:multiLevelType w:val="hybridMultilevel"/>
    <w:tmpl w:val="3FC0F84C"/>
    <w:lvl w:ilvl="0" w:tplc="227C7A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8EB3C20"/>
    <w:multiLevelType w:val="hybridMultilevel"/>
    <w:tmpl w:val="1AAA4AE0"/>
    <w:lvl w:ilvl="0" w:tplc="F682A16E">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4177461"/>
    <w:multiLevelType w:val="hybridMultilevel"/>
    <w:tmpl w:val="DA28D4E0"/>
    <w:lvl w:ilvl="0" w:tplc="446E8C3C">
      <w:start w:val="1"/>
      <w:numFmt w:val="lowerRoman"/>
      <w:lvlText w:val="%1."/>
      <w:lvlJc w:val="left"/>
      <w:pPr>
        <w:ind w:left="1440" w:hanging="720"/>
      </w:pPr>
      <w:rPr>
        <w:rFonts w:hint="default"/>
        <w:b/>
        <w:bCs/>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565D6728"/>
    <w:multiLevelType w:val="hybridMultilevel"/>
    <w:tmpl w:val="50C61222"/>
    <w:lvl w:ilvl="0" w:tplc="83D05A32">
      <w:start w:val="1"/>
      <w:numFmt w:val="decimal"/>
      <w:lvlText w:val="%1."/>
      <w:lvlJc w:val="left"/>
      <w:pPr>
        <w:ind w:left="720" w:hanging="360"/>
      </w:pPr>
      <w:rPr>
        <w:rFonts w:ascii="Merriweather" w:hAnsi="Merriweather" w:hint="default"/>
        <w:sz w:val="22"/>
        <w:szCs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0A31F22"/>
    <w:multiLevelType w:val="hybridMultilevel"/>
    <w:tmpl w:val="6FAA62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79C0D58"/>
    <w:multiLevelType w:val="hybridMultilevel"/>
    <w:tmpl w:val="F0603480"/>
    <w:lvl w:ilvl="0" w:tplc="A750277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8FF3D7C"/>
    <w:multiLevelType w:val="hybridMultilevel"/>
    <w:tmpl w:val="DF08E574"/>
    <w:lvl w:ilvl="0" w:tplc="E88035A6">
      <w:start w:val="1"/>
      <w:numFmt w:val="bullet"/>
      <w:lvlText w:val="-"/>
      <w:lvlJc w:val="left"/>
      <w:pPr>
        <w:ind w:left="1440" w:hanging="360"/>
      </w:pPr>
      <w:rPr>
        <w:rFonts w:ascii="Times New Roman" w:eastAsiaTheme="minorHAnsi" w:hAnsi="Times New Roman" w:cs="Times New Roman"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15:restartNumberingAfterBreak="0">
    <w:nsid w:val="70582376"/>
    <w:multiLevelType w:val="hybridMultilevel"/>
    <w:tmpl w:val="9882485C"/>
    <w:lvl w:ilvl="0" w:tplc="E88035A6">
      <w:start w:val="1"/>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30F47F1"/>
    <w:multiLevelType w:val="hybridMultilevel"/>
    <w:tmpl w:val="D29C4A5E"/>
    <w:lvl w:ilvl="0" w:tplc="F698BB94">
      <w:start w:val="1"/>
      <w:numFmt w:val="lowerLetter"/>
      <w:lvlText w:val="%1)"/>
      <w:lvlJc w:val="left"/>
      <w:pPr>
        <w:ind w:left="717" w:hanging="360"/>
      </w:pPr>
      <w:rPr>
        <w:rFonts w:hint="default"/>
      </w:rPr>
    </w:lvl>
    <w:lvl w:ilvl="1" w:tplc="080A0019" w:tentative="1">
      <w:start w:val="1"/>
      <w:numFmt w:val="lowerLetter"/>
      <w:lvlText w:val="%2."/>
      <w:lvlJc w:val="left"/>
      <w:pPr>
        <w:ind w:left="1437" w:hanging="360"/>
      </w:pPr>
    </w:lvl>
    <w:lvl w:ilvl="2" w:tplc="080A001B" w:tentative="1">
      <w:start w:val="1"/>
      <w:numFmt w:val="lowerRoman"/>
      <w:lvlText w:val="%3."/>
      <w:lvlJc w:val="right"/>
      <w:pPr>
        <w:ind w:left="2157" w:hanging="180"/>
      </w:pPr>
    </w:lvl>
    <w:lvl w:ilvl="3" w:tplc="080A000F" w:tentative="1">
      <w:start w:val="1"/>
      <w:numFmt w:val="decimal"/>
      <w:lvlText w:val="%4."/>
      <w:lvlJc w:val="left"/>
      <w:pPr>
        <w:ind w:left="2877" w:hanging="360"/>
      </w:pPr>
    </w:lvl>
    <w:lvl w:ilvl="4" w:tplc="080A0019" w:tentative="1">
      <w:start w:val="1"/>
      <w:numFmt w:val="lowerLetter"/>
      <w:lvlText w:val="%5."/>
      <w:lvlJc w:val="left"/>
      <w:pPr>
        <w:ind w:left="3597" w:hanging="360"/>
      </w:pPr>
    </w:lvl>
    <w:lvl w:ilvl="5" w:tplc="080A001B" w:tentative="1">
      <w:start w:val="1"/>
      <w:numFmt w:val="lowerRoman"/>
      <w:lvlText w:val="%6."/>
      <w:lvlJc w:val="right"/>
      <w:pPr>
        <w:ind w:left="4317" w:hanging="180"/>
      </w:pPr>
    </w:lvl>
    <w:lvl w:ilvl="6" w:tplc="080A000F" w:tentative="1">
      <w:start w:val="1"/>
      <w:numFmt w:val="decimal"/>
      <w:lvlText w:val="%7."/>
      <w:lvlJc w:val="left"/>
      <w:pPr>
        <w:ind w:left="5037" w:hanging="360"/>
      </w:pPr>
    </w:lvl>
    <w:lvl w:ilvl="7" w:tplc="080A0019" w:tentative="1">
      <w:start w:val="1"/>
      <w:numFmt w:val="lowerLetter"/>
      <w:lvlText w:val="%8."/>
      <w:lvlJc w:val="left"/>
      <w:pPr>
        <w:ind w:left="5757" w:hanging="360"/>
      </w:pPr>
    </w:lvl>
    <w:lvl w:ilvl="8" w:tplc="080A001B" w:tentative="1">
      <w:start w:val="1"/>
      <w:numFmt w:val="lowerRoman"/>
      <w:lvlText w:val="%9."/>
      <w:lvlJc w:val="right"/>
      <w:pPr>
        <w:ind w:left="6477" w:hanging="180"/>
      </w:pPr>
    </w:lvl>
  </w:abstractNum>
  <w:abstractNum w:abstractNumId="18" w15:restartNumberingAfterBreak="0">
    <w:nsid w:val="75727395"/>
    <w:multiLevelType w:val="hybridMultilevel"/>
    <w:tmpl w:val="0B88BEC8"/>
    <w:lvl w:ilvl="0" w:tplc="0A3611EC">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7541636"/>
    <w:multiLevelType w:val="hybridMultilevel"/>
    <w:tmpl w:val="362EE9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E8A540E"/>
    <w:multiLevelType w:val="hybridMultilevel"/>
    <w:tmpl w:val="E63C3F9A"/>
    <w:lvl w:ilvl="0" w:tplc="83D05A32">
      <w:start w:val="1"/>
      <w:numFmt w:val="decimal"/>
      <w:lvlText w:val="%1."/>
      <w:lvlJc w:val="left"/>
      <w:pPr>
        <w:ind w:left="720" w:hanging="360"/>
      </w:pPr>
      <w:rPr>
        <w:rFonts w:ascii="Merriweather" w:hAnsi="Merriweather"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63488011">
    <w:abstractNumId w:val="12"/>
  </w:num>
  <w:num w:numId="2" w16cid:durableId="704797556">
    <w:abstractNumId w:val="20"/>
  </w:num>
  <w:num w:numId="3" w16cid:durableId="232012998">
    <w:abstractNumId w:val="10"/>
  </w:num>
  <w:num w:numId="4" w16cid:durableId="1466117903">
    <w:abstractNumId w:val="13"/>
  </w:num>
  <w:num w:numId="5" w16cid:durableId="1291286049">
    <w:abstractNumId w:val="14"/>
  </w:num>
  <w:num w:numId="6" w16cid:durableId="2021083270">
    <w:abstractNumId w:val="18"/>
  </w:num>
  <w:num w:numId="7" w16cid:durableId="1348826930">
    <w:abstractNumId w:val="16"/>
  </w:num>
  <w:num w:numId="8" w16cid:durableId="1252663995">
    <w:abstractNumId w:val="4"/>
  </w:num>
  <w:num w:numId="9" w16cid:durableId="1133792514">
    <w:abstractNumId w:val="17"/>
  </w:num>
  <w:num w:numId="10" w16cid:durableId="1898079422">
    <w:abstractNumId w:val="19"/>
  </w:num>
  <w:num w:numId="11" w16cid:durableId="1005598291">
    <w:abstractNumId w:val="1"/>
  </w:num>
  <w:num w:numId="12" w16cid:durableId="611983285">
    <w:abstractNumId w:val="9"/>
  </w:num>
  <w:num w:numId="13" w16cid:durableId="517547563">
    <w:abstractNumId w:val="6"/>
  </w:num>
  <w:num w:numId="14" w16cid:durableId="1685588864">
    <w:abstractNumId w:val="3"/>
  </w:num>
  <w:num w:numId="15" w16cid:durableId="992098839">
    <w:abstractNumId w:val="11"/>
  </w:num>
  <w:num w:numId="16" w16cid:durableId="2129004341">
    <w:abstractNumId w:val="2"/>
  </w:num>
  <w:num w:numId="17" w16cid:durableId="1649095724">
    <w:abstractNumId w:val="7"/>
  </w:num>
  <w:num w:numId="18" w16cid:durableId="1929147111">
    <w:abstractNumId w:val="15"/>
  </w:num>
  <w:num w:numId="19" w16cid:durableId="1866402077">
    <w:abstractNumId w:val="8"/>
  </w:num>
  <w:num w:numId="20" w16cid:durableId="69691677">
    <w:abstractNumId w:val="0"/>
  </w:num>
  <w:num w:numId="21" w16cid:durableId="9564460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E71"/>
    <w:rsid w:val="00000D3F"/>
    <w:rsid w:val="000017DE"/>
    <w:rsid w:val="00002C84"/>
    <w:rsid w:val="00011C96"/>
    <w:rsid w:val="000207AA"/>
    <w:rsid w:val="00021864"/>
    <w:rsid w:val="000304D1"/>
    <w:rsid w:val="00031961"/>
    <w:rsid w:val="000334C5"/>
    <w:rsid w:val="00035BE6"/>
    <w:rsid w:val="00041D48"/>
    <w:rsid w:val="000420BC"/>
    <w:rsid w:val="00051716"/>
    <w:rsid w:val="00052018"/>
    <w:rsid w:val="0005369C"/>
    <w:rsid w:val="00054CEA"/>
    <w:rsid w:val="00054EC9"/>
    <w:rsid w:val="00061779"/>
    <w:rsid w:val="00061B36"/>
    <w:rsid w:val="00063779"/>
    <w:rsid w:val="00063FF6"/>
    <w:rsid w:val="00065771"/>
    <w:rsid w:val="0007071D"/>
    <w:rsid w:val="0007647D"/>
    <w:rsid w:val="00080021"/>
    <w:rsid w:val="00083D2E"/>
    <w:rsid w:val="0008626B"/>
    <w:rsid w:val="000923E2"/>
    <w:rsid w:val="000A103D"/>
    <w:rsid w:val="000A15BF"/>
    <w:rsid w:val="000A2B44"/>
    <w:rsid w:val="000C548F"/>
    <w:rsid w:val="000C60B8"/>
    <w:rsid w:val="000D4911"/>
    <w:rsid w:val="000E13E6"/>
    <w:rsid w:val="000E6C70"/>
    <w:rsid w:val="000F3D39"/>
    <w:rsid w:val="000F562D"/>
    <w:rsid w:val="000F64CD"/>
    <w:rsid w:val="001041D0"/>
    <w:rsid w:val="00105703"/>
    <w:rsid w:val="00107D81"/>
    <w:rsid w:val="0011018A"/>
    <w:rsid w:val="001215B8"/>
    <w:rsid w:val="001224D6"/>
    <w:rsid w:val="0014268B"/>
    <w:rsid w:val="00147281"/>
    <w:rsid w:val="00150156"/>
    <w:rsid w:val="00161687"/>
    <w:rsid w:val="00174AF6"/>
    <w:rsid w:val="00180B64"/>
    <w:rsid w:val="00195BF3"/>
    <w:rsid w:val="001A03E9"/>
    <w:rsid w:val="001A07DB"/>
    <w:rsid w:val="001A74D5"/>
    <w:rsid w:val="001B1ACF"/>
    <w:rsid w:val="001B78B3"/>
    <w:rsid w:val="001B7E62"/>
    <w:rsid w:val="001C0926"/>
    <w:rsid w:val="001C0CC3"/>
    <w:rsid w:val="001C1594"/>
    <w:rsid w:val="001C3B76"/>
    <w:rsid w:val="001D58BD"/>
    <w:rsid w:val="001E0FFD"/>
    <w:rsid w:val="001E1DB9"/>
    <w:rsid w:val="001E473B"/>
    <w:rsid w:val="001F1B9E"/>
    <w:rsid w:val="001F5F0D"/>
    <w:rsid w:val="001F72C0"/>
    <w:rsid w:val="00205F8A"/>
    <w:rsid w:val="00206C23"/>
    <w:rsid w:val="0021273B"/>
    <w:rsid w:val="00212901"/>
    <w:rsid w:val="00214C0B"/>
    <w:rsid w:val="00220CDC"/>
    <w:rsid w:val="002268C2"/>
    <w:rsid w:val="00231EA2"/>
    <w:rsid w:val="00233144"/>
    <w:rsid w:val="00233763"/>
    <w:rsid w:val="00237057"/>
    <w:rsid w:val="002402A1"/>
    <w:rsid w:val="00252F19"/>
    <w:rsid w:val="00253E2D"/>
    <w:rsid w:val="00265E06"/>
    <w:rsid w:val="0027081B"/>
    <w:rsid w:val="0027411A"/>
    <w:rsid w:val="0027494A"/>
    <w:rsid w:val="00274FDD"/>
    <w:rsid w:val="002801A1"/>
    <w:rsid w:val="00280D89"/>
    <w:rsid w:val="002819C3"/>
    <w:rsid w:val="00284CFA"/>
    <w:rsid w:val="00286F8D"/>
    <w:rsid w:val="00291331"/>
    <w:rsid w:val="002979BF"/>
    <w:rsid w:val="002B09CF"/>
    <w:rsid w:val="002B1520"/>
    <w:rsid w:val="002B1D35"/>
    <w:rsid w:val="002B44F8"/>
    <w:rsid w:val="002B6B86"/>
    <w:rsid w:val="002C0AE5"/>
    <w:rsid w:val="002C581F"/>
    <w:rsid w:val="002C6864"/>
    <w:rsid w:val="002C7080"/>
    <w:rsid w:val="002D04A5"/>
    <w:rsid w:val="002D6D2E"/>
    <w:rsid w:val="002D73B8"/>
    <w:rsid w:val="002E6F4C"/>
    <w:rsid w:val="002F134E"/>
    <w:rsid w:val="002F2057"/>
    <w:rsid w:val="002F2DD4"/>
    <w:rsid w:val="002F49F8"/>
    <w:rsid w:val="002F65B5"/>
    <w:rsid w:val="00303982"/>
    <w:rsid w:val="003206AB"/>
    <w:rsid w:val="0032409B"/>
    <w:rsid w:val="0032649E"/>
    <w:rsid w:val="0032688D"/>
    <w:rsid w:val="00326D1C"/>
    <w:rsid w:val="00327570"/>
    <w:rsid w:val="00337A74"/>
    <w:rsid w:val="00337C63"/>
    <w:rsid w:val="00342E39"/>
    <w:rsid w:val="0036602C"/>
    <w:rsid w:val="00366E64"/>
    <w:rsid w:val="00372B57"/>
    <w:rsid w:val="00372BF2"/>
    <w:rsid w:val="003816B2"/>
    <w:rsid w:val="00382787"/>
    <w:rsid w:val="00385DC0"/>
    <w:rsid w:val="0039152B"/>
    <w:rsid w:val="00393B81"/>
    <w:rsid w:val="00396E2F"/>
    <w:rsid w:val="00397B8B"/>
    <w:rsid w:val="003A3272"/>
    <w:rsid w:val="003A5551"/>
    <w:rsid w:val="003A5DC8"/>
    <w:rsid w:val="003B1A1C"/>
    <w:rsid w:val="003B209C"/>
    <w:rsid w:val="003B34AC"/>
    <w:rsid w:val="003C1D62"/>
    <w:rsid w:val="003C7802"/>
    <w:rsid w:val="003E39A8"/>
    <w:rsid w:val="003E51E3"/>
    <w:rsid w:val="003F4B4A"/>
    <w:rsid w:val="003F5FB1"/>
    <w:rsid w:val="003F725F"/>
    <w:rsid w:val="003F7CAF"/>
    <w:rsid w:val="004014E2"/>
    <w:rsid w:val="00403FC8"/>
    <w:rsid w:val="00405326"/>
    <w:rsid w:val="00412047"/>
    <w:rsid w:val="00413BAE"/>
    <w:rsid w:val="00414587"/>
    <w:rsid w:val="00416920"/>
    <w:rsid w:val="00422AD5"/>
    <w:rsid w:val="00426485"/>
    <w:rsid w:val="004351AA"/>
    <w:rsid w:val="00436DCE"/>
    <w:rsid w:val="004416DD"/>
    <w:rsid w:val="00442C7A"/>
    <w:rsid w:val="00442D24"/>
    <w:rsid w:val="004442D2"/>
    <w:rsid w:val="00444D95"/>
    <w:rsid w:val="00446066"/>
    <w:rsid w:val="004500C4"/>
    <w:rsid w:val="00475E98"/>
    <w:rsid w:val="00476FA6"/>
    <w:rsid w:val="00480521"/>
    <w:rsid w:val="00480AAC"/>
    <w:rsid w:val="00485D64"/>
    <w:rsid w:val="00491861"/>
    <w:rsid w:val="00492662"/>
    <w:rsid w:val="00493A0D"/>
    <w:rsid w:val="00497040"/>
    <w:rsid w:val="004A08E3"/>
    <w:rsid w:val="004A1A0A"/>
    <w:rsid w:val="004A378B"/>
    <w:rsid w:val="004A4EC0"/>
    <w:rsid w:val="004A56E6"/>
    <w:rsid w:val="004B0B3E"/>
    <w:rsid w:val="004B0CEA"/>
    <w:rsid w:val="004B245A"/>
    <w:rsid w:val="004C7E2F"/>
    <w:rsid w:val="004D0188"/>
    <w:rsid w:val="004D294B"/>
    <w:rsid w:val="004D5B81"/>
    <w:rsid w:val="004E0BF2"/>
    <w:rsid w:val="004E2849"/>
    <w:rsid w:val="004E6624"/>
    <w:rsid w:val="004F3B1D"/>
    <w:rsid w:val="004F6B2F"/>
    <w:rsid w:val="004F7596"/>
    <w:rsid w:val="004F775B"/>
    <w:rsid w:val="004F7CF0"/>
    <w:rsid w:val="00504EB2"/>
    <w:rsid w:val="005220A7"/>
    <w:rsid w:val="005240B4"/>
    <w:rsid w:val="00526690"/>
    <w:rsid w:val="005274A1"/>
    <w:rsid w:val="00532D74"/>
    <w:rsid w:val="00534572"/>
    <w:rsid w:val="00537E35"/>
    <w:rsid w:val="00545DF4"/>
    <w:rsid w:val="00552BAB"/>
    <w:rsid w:val="00555BE0"/>
    <w:rsid w:val="00565955"/>
    <w:rsid w:val="00570915"/>
    <w:rsid w:val="0058378C"/>
    <w:rsid w:val="005933D9"/>
    <w:rsid w:val="00593898"/>
    <w:rsid w:val="005A4854"/>
    <w:rsid w:val="005A7234"/>
    <w:rsid w:val="005B17A4"/>
    <w:rsid w:val="005B47B1"/>
    <w:rsid w:val="005B7F81"/>
    <w:rsid w:val="005C2525"/>
    <w:rsid w:val="005D3622"/>
    <w:rsid w:val="005D5C5E"/>
    <w:rsid w:val="005E1358"/>
    <w:rsid w:val="005E63BD"/>
    <w:rsid w:val="005E6B75"/>
    <w:rsid w:val="005E77FA"/>
    <w:rsid w:val="005F71E1"/>
    <w:rsid w:val="00602468"/>
    <w:rsid w:val="00602D79"/>
    <w:rsid w:val="006121DF"/>
    <w:rsid w:val="0062269D"/>
    <w:rsid w:val="00622F70"/>
    <w:rsid w:val="00627C6B"/>
    <w:rsid w:val="00631D26"/>
    <w:rsid w:val="00634A48"/>
    <w:rsid w:val="00640DF6"/>
    <w:rsid w:val="0064126E"/>
    <w:rsid w:val="006439C5"/>
    <w:rsid w:val="00645993"/>
    <w:rsid w:val="00646C1B"/>
    <w:rsid w:val="00647891"/>
    <w:rsid w:val="00656C36"/>
    <w:rsid w:val="006605AB"/>
    <w:rsid w:val="00674706"/>
    <w:rsid w:val="0067730B"/>
    <w:rsid w:val="00680477"/>
    <w:rsid w:val="006812D9"/>
    <w:rsid w:val="00684309"/>
    <w:rsid w:val="00691A3A"/>
    <w:rsid w:val="006A3495"/>
    <w:rsid w:val="006A66A3"/>
    <w:rsid w:val="006B07DC"/>
    <w:rsid w:val="006B1554"/>
    <w:rsid w:val="006B186C"/>
    <w:rsid w:val="006B544B"/>
    <w:rsid w:val="006B7886"/>
    <w:rsid w:val="006B7DB6"/>
    <w:rsid w:val="006C3996"/>
    <w:rsid w:val="006C3D60"/>
    <w:rsid w:val="006C450D"/>
    <w:rsid w:val="006D1384"/>
    <w:rsid w:val="006D1948"/>
    <w:rsid w:val="006D2457"/>
    <w:rsid w:val="006D2966"/>
    <w:rsid w:val="006D6CC6"/>
    <w:rsid w:val="006E3D70"/>
    <w:rsid w:val="006E5EEE"/>
    <w:rsid w:val="006F1F2A"/>
    <w:rsid w:val="006F38D3"/>
    <w:rsid w:val="006F6D09"/>
    <w:rsid w:val="00711B93"/>
    <w:rsid w:val="00712C85"/>
    <w:rsid w:val="00716083"/>
    <w:rsid w:val="00716EB4"/>
    <w:rsid w:val="00722292"/>
    <w:rsid w:val="007262DA"/>
    <w:rsid w:val="007272DB"/>
    <w:rsid w:val="00733CE0"/>
    <w:rsid w:val="00740FF3"/>
    <w:rsid w:val="00744A3D"/>
    <w:rsid w:val="00756AA5"/>
    <w:rsid w:val="00761BBE"/>
    <w:rsid w:val="00762877"/>
    <w:rsid w:val="00765D16"/>
    <w:rsid w:val="00770B1B"/>
    <w:rsid w:val="00771B0A"/>
    <w:rsid w:val="0078415D"/>
    <w:rsid w:val="007842F4"/>
    <w:rsid w:val="007954F1"/>
    <w:rsid w:val="007A49FC"/>
    <w:rsid w:val="007B35E6"/>
    <w:rsid w:val="007B519C"/>
    <w:rsid w:val="007D26A5"/>
    <w:rsid w:val="007D2E3C"/>
    <w:rsid w:val="007E7C87"/>
    <w:rsid w:val="007F2B0E"/>
    <w:rsid w:val="007F5310"/>
    <w:rsid w:val="007F5AD9"/>
    <w:rsid w:val="008061DA"/>
    <w:rsid w:val="008062AC"/>
    <w:rsid w:val="00812BE0"/>
    <w:rsid w:val="00816747"/>
    <w:rsid w:val="0081765B"/>
    <w:rsid w:val="0082522D"/>
    <w:rsid w:val="00825745"/>
    <w:rsid w:val="008309AD"/>
    <w:rsid w:val="00830C00"/>
    <w:rsid w:val="00832EE5"/>
    <w:rsid w:val="00836377"/>
    <w:rsid w:val="00837DC9"/>
    <w:rsid w:val="00840579"/>
    <w:rsid w:val="008425A6"/>
    <w:rsid w:val="00846B07"/>
    <w:rsid w:val="00850533"/>
    <w:rsid w:val="00852098"/>
    <w:rsid w:val="00854B79"/>
    <w:rsid w:val="0087010A"/>
    <w:rsid w:val="00871B47"/>
    <w:rsid w:val="00871D6D"/>
    <w:rsid w:val="008730D9"/>
    <w:rsid w:val="00883F2C"/>
    <w:rsid w:val="00896706"/>
    <w:rsid w:val="00896950"/>
    <w:rsid w:val="008A15AA"/>
    <w:rsid w:val="008A1F05"/>
    <w:rsid w:val="008A3FEC"/>
    <w:rsid w:val="008A4FCC"/>
    <w:rsid w:val="008B69A7"/>
    <w:rsid w:val="008C310E"/>
    <w:rsid w:val="008C4E8C"/>
    <w:rsid w:val="008C77CD"/>
    <w:rsid w:val="008D0730"/>
    <w:rsid w:val="008D2371"/>
    <w:rsid w:val="008D2989"/>
    <w:rsid w:val="008D2A58"/>
    <w:rsid w:val="008E42DC"/>
    <w:rsid w:val="008E4732"/>
    <w:rsid w:val="008E573E"/>
    <w:rsid w:val="008E5C3A"/>
    <w:rsid w:val="008E755F"/>
    <w:rsid w:val="008F0657"/>
    <w:rsid w:val="008F5EC0"/>
    <w:rsid w:val="00903A03"/>
    <w:rsid w:val="009061D3"/>
    <w:rsid w:val="00911482"/>
    <w:rsid w:val="009149EA"/>
    <w:rsid w:val="00915007"/>
    <w:rsid w:val="009211A1"/>
    <w:rsid w:val="00926F93"/>
    <w:rsid w:val="00930534"/>
    <w:rsid w:val="00935165"/>
    <w:rsid w:val="00937036"/>
    <w:rsid w:val="00946666"/>
    <w:rsid w:val="00946BA6"/>
    <w:rsid w:val="00954797"/>
    <w:rsid w:val="00960037"/>
    <w:rsid w:val="00961B90"/>
    <w:rsid w:val="0096368E"/>
    <w:rsid w:val="00973DBB"/>
    <w:rsid w:val="009847F5"/>
    <w:rsid w:val="00995182"/>
    <w:rsid w:val="009A4656"/>
    <w:rsid w:val="009A4730"/>
    <w:rsid w:val="009A5726"/>
    <w:rsid w:val="009B4D36"/>
    <w:rsid w:val="009C57E2"/>
    <w:rsid w:val="009C71FB"/>
    <w:rsid w:val="009D069A"/>
    <w:rsid w:val="009E0EF3"/>
    <w:rsid w:val="009F0D47"/>
    <w:rsid w:val="009F1CE5"/>
    <w:rsid w:val="009F208D"/>
    <w:rsid w:val="009F466A"/>
    <w:rsid w:val="009F7276"/>
    <w:rsid w:val="00A000F3"/>
    <w:rsid w:val="00A02281"/>
    <w:rsid w:val="00A03017"/>
    <w:rsid w:val="00A037F4"/>
    <w:rsid w:val="00A068CE"/>
    <w:rsid w:val="00A06CB9"/>
    <w:rsid w:val="00A13B72"/>
    <w:rsid w:val="00A14B85"/>
    <w:rsid w:val="00A22662"/>
    <w:rsid w:val="00A240C0"/>
    <w:rsid w:val="00A25554"/>
    <w:rsid w:val="00A2669A"/>
    <w:rsid w:val="00A269A7"/>
    <w:rsid w:val="00A30E11"/>
    <w:rsid w:val="00A34CD8"/>
    <w:rsid w:val="00A4072E"/>
    <w:rsid w:val="00A440FC"/>
    <w:rsid w:val="00A47D80"/>
    <w:rsid w:val="00A51181"/>
    <w:rsid w:val="00A56BB7"/>
    <w:rsid w:val="00A60602"/>
    <w:rsid w:val="00A62EB5"/>
    <w:rsid w:val="00A63466"/>
    <w:rsid w:val="00A72101"/>
    <w:rsid w:val="00A7293E"/>
    <w:rsid w:val="00A76CAE"/>
    <w:rsid w:val="00A818A9"/>
    <w:rsid w:val="00A96928"/>
    <w:rsid w:val="00A97FA2"/>
    <w:rsid w:val="00AA486D"/>
    <w:rsid w:val="00AA690C"/>
    <w:rsid w:val="00AA7115"/>
    <w:rsid w:val="00AB31DA"/>
    <w:rsid w:val="00AB3D74"/>
    <w:rsid w:val="00AC01DC"/>
    <w:rsid w:val="00AC0EDB"/>
    <w:rsid w:val="00AC1911"/>
    <w:rsid w:val="00AC64FC"/>
    <w:rsid w:val="00AD1616"/>
    <w:rsid w:val="00AD54BB"/>
    <w:rsid w:val="00AE5A92"/>
    <w:rsid w:val="00AF03A2"/>
    <w:rsid w:val="00AF5E1D"/>
    <w:rsid w:val="00AF7482"/>
    <w:rsid w:val="00B03D10"/>
    <w:rsid w:val="00B03F88"/>
    <w:rsid w:val="00B16265"/>
    <w:rsid w:val="00B24D76"/>
    <w:rsid w:val="00B27AF4"/>
    <w:rsid w:val="00B452BB"/>
    <w:rsid w:val="00B467B3"/>
    <w:rsid w:val="00B51AE1"/>
    <w:rsid w:val="00B57782"/>
    <w:rsid w:val="00B67A10"/>
    <w:rsid w:val="00B70069"/>
    <w:rsid w:val="00B75032"/>
    <w:rsid w:val="00B77B19"/>
    <w:rsid w:val="00B95947"/>
    <w:rsid w:val="00BA503C"/>
    <w:rsid w:val="00BA571B"/>
    <w:rsid w:val="00BA669A"/>
    <w:rsid w:val="00BA68C7"/>
    <w:rsid w:val="00BA69AC"/>
    <w:rsid w:val="00BA78EE"/>
    <w:rsid w:val="00BA7BF0"/>
    <w:rsid w:val="00BB0774"/>
    <w:rsid w:val="00BB1E71"/>
    <w:rsid w:val="00BB6203"/>
    <w:rsid w:val="00BC1242"/>
    <w:rsid w:val="00BD3109"/>
    <w:rsid w:val="00BD71B1"/>
    <w:rsid w:val="00BD7E57"/>
    <w:rsid w:val="00BE77C6"/>
    <w:rsid w:val="00BF1B98"/>
    <w:rsid w:val="00BF1BEB"/>
    <w:rsid w:val="00BF263E"/>
    <w:rsid w:val="00BF4D84"/>
    <w:rsid w:val="00BF6A86"/>
    <w:rsid w:val="00C01E33"/>
    <w:rsid w:val="00C05D71"/>
    <w:rsid w:val="00C1087D"/>
    <w:rsid w:val="00C1192B"/>
    <w:rsid w:val="00C14011"/>
    <w:rsid w:val="00C17275"/>
    <w:rsid w:val="00C26F11"/>
    <w:rsid w:val="00C2776B"/>
    <w:rsid w:val="00C33FEC"/>
    <w:rsid w:val="00C36F87"/>
    <w:rsid w:val="00C373D0"/>
    <w:rsid w:val="00C3772E"/>
    <w:rsid w:val="00C41CA7"/>
    <w:rsid w:val="00C42934"/>
    <w:rsid w:val="00C43EDE"/>
    <w:rsid w:val="00C459D6"/>
    <w:rsid w:val="00C54FB3"/>
    <w:rsid w:val="00C80373"/>
    <w:rsid w:val="00C81513"/>
    <w:rsid w:val="00C83E0B"/>
    <w:rsid w:val="00C93A49"/>
    <w:rsid w:val="00CA00DE"/>
    <w:rsid w:val="00CA06E0"/>
    <w:rsid w:val="00CA2668"/>
    <w:rsid w:val="00CA2A17"/>
    <w:rsid w:val="00CA6520"/>
    <w:rsid w:val="00CA7349"/>
    <w:rsid w:val="00CA7BCE"/>
    <w:rsid w:val="00CB144F"/>
    <w:rsid w:val="00CB648E"/>
    <w:rsid w:val="00CC0006"/>
    <w:rsid w:val="00CC1FCC"/>
    <w:rsid w:val="00CC328D"/>
    <w:rsid w:val="00CC5839"/>
    <w:rsid w:val="00CC69FE"/>
    <w:rsid w:val="00CD213C"/>
    <w:rsid w:val="00CF755C"/>
    <w:rsid w:val="00D0260F"/>
    <w:rsid w:val="00D03CB4"/>
    <w:rsid w:val="00D03E1E"/>
    <w:rsid w:val="00D047C1"/>
    <w:rsid w:val="00D1221D"/>
    <w:rsid w:val="00D131BC"/>
    <w:rsid w:val="00D14569"/>
    <w:rsid w:val="00D16AEE"/>
    <w:rsid w:val="00D20F51"/>
    <w:rsid w:val="00D24E3A"/>
    <w:rsid w:val="00D35B9D"/>
    <w:rsid w:val="00D36663"/>
    <w:rsid w:val="00D36699"/>
    <w:rsid w:val="00D378BC"/>
    <w:rsid w:val="00D37E8B"/>
    <w:rsid w:val="00D47240"/>
    <w:rsid w:val="00D4772D"/>
    <w:rsid w:val="00D52455"/>
    <w:rsid w:val="00D524B6"/>
    <w:rsid w:val="00D52E5A"/>
    <w:rsid w:val="00D552B4"/>
    <w:rsid w:val="00D55B87"/>
    <w:rsid w:val="00D61F12"/>
    <w:rsid w:val="00D64009"/>
    <w:rsid w:val="00D7154A"/>
    <w:rsid w:val="00D71966"/>
    <w:rsid w:val="00D71981"/>
    <w:rsid w:val="00D811B9"/>
    <w:rsid w:val="00D878F1"/>
    <w:rsid w:val="00D90B2F"/>
    <w:rsid w:val="00D91970"/>
    <w:rsid w:val="00D95905"/>
    <w:rsid w:val="00D97E30"/>
    <w:rsid w:val="00DA1514"/>
    <w:rsid w:val="00DB02CD"/>
    <w:rsid w:val="00DB03EF"/>
    <w:rsid w:val="00DB6530"/>
    <w:rsid w:val="00DC78FA"/>
    <w:rsid w:val="00DD1DD1"/>
    <w:rsid w:val="00DD2867"/>
    <w:rsid w:val="00DD429E"/>
    <w:rsid w:val="00DE0827"/>
    <w:rsid w:val="00DE1961"/>
    <w:rsid w:val="00DE4849"/>
    <w:rsid w:val="00DF13A5"/>
    <w:rsid w:val="00DF3A13"/>
    <w:rsid w:val="00DF5EE2"/>
    <w:rsid w:val="00E072B9"/>
    <w:rsid w:val="00E07986"/>
    <w:rsid w:val="00E1195C"/>
    <w:rsid w:val="00E23440"/>
    <w:rsid w:val="00E23A0F"/>
    <w:rsid w:val="00E366C6"/>
    <w:rsid w:val="00E37711"/>
    <w:rsid w:val="00E46AD5"/>
    <w:rsid w:val="00E550F9"/>
    <w:rsid w:val="00E70695"/>
    <w:rsid w:val="00E735F9"/>
    <w:rsid w:val="00E76D2C"/>
    <w:rsid w:val="00E81681"/>
    <w:rsid w:val="00E8231A"/>
    <w:rsid w:val="00E829AA"/>
    <w:rsid w:val="00E85E7D"/>
    <w:rsid w:val="00E94E4C"/>
    <w:rsid w:val="00E9688B"/>
    <w:rsid w:val="00EB012D"/>
    <w:rsid w:val="00EB1E5A"/>
    <w:rsid w:val="00EB2196"/>
    <w:rsid w:val="00EB713E"/>
    <w:rsid w:val="00EB7DEF"/>
    <w:rsid w:val="00EC7C1F"/>
    <w:rsid w:val="00ED0431"/>
    <w:rsid w:val="00ED3A1D"/>
    <w:rsid w:val="00ED79E9"/>
    <w:rsid w:val="00EE711A"/>
    <w:rsid w:val="00EF07E1"/>
    <w:rsid w:val="00EF5392"/>
    <w:rsid w:val="00F0667C"/>
    <w:rsid w:val="00F076FE"/>
    <w:rsid w:val="00F10699"/>
    <w:rsid w:val="00F11C0C"/>
    <w:rsid w:val="00F4014A"/>
    <w:rsid w:val="00F448DC"/>
    <w:rsid w:val="00F46A77"/>
    <w:rsid w:val="00F46F7D"/>
    <w:rsid w:val="00F52D14"/>
    <w:rsid w:val="00F547F3"/>
    <w:rsid w:val="00F56247"/>
    <w:rsid w:val="00F60166"/>
    <w:rsid w:val="00F615B5"/>
    <w:rsid w:val="00F65ADC"/>
    <w:rsid w:val="00F7496E"/>
    <w:rsid w:val="00F74FEF"/>
    <w:rsid w:val="00F93CF0"/>
    <w:rsid w:val="00FA092D"/>
    <w:rsid w:val="00FA0D13"/>
    <w:rsid w:val="00FB1901"/>
    <w:rsid w:val="00FB4427"/>
    <w:rsid w:val="00FC0979"/>
    <w:rsid w:val="00FD01C5"/>
    <w:rsid w:val="00FD0589"/>
    <w:rsid w:val="00FD0FD1"/>
    <w:rsid w:val="00FD15C4"/>
    <w:rsid w:val="00FD1ED4"/>
    <w:rsid w:val="00FD399B"/>
    <w:rsid w:val="00FD4E61"/>
    <w:rsid w:val="00FD611D"/>
    <w:rsid w:val="00FD700C"/>
    <w:rsid w:val="00FE1140"/>
    <w:rsid w:val="00FE135E"/>
    <w:rsid w:val="00FF73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A48585"/>
  <w15:chartTrackingRefBased/>
  <w15:docId w15:val="{2465C779-90DD-4F93-965A-309295C0F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E7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B1E71"/>
    <w:pPr>
      <w:tabs>
        <w:tab w:val="center" w:pos="4419"/>
        <w:tab w:val="right" w:pos="8838"/>
      </w:tabs>
      <w:spacing w:after="0" w:line="240" w:lineRule="auto"/>
    </w:pPr>
    <w:rPr>
      <w:sz w:val="24"/>
      <w:szCs w:val="24"/>
    </w:rPr>
  </w:style>
  <w:style w:type="character" w:customStyle="1" w:styleId="EncabezadoCar">
    <w:name w:val="Encabezado Car"/>
    <w:basedOn w:val="Fuentedeprrafopredeter"/>
    <w:link w:val="Encabezado"/>
    <w:uiPriority w:val="99"/>
    <w:rsid w:val="00BB1E71"/>
    <w:rPr>
      <w:sz w:val="24"/>
      <w:szCs w:val="24"/>
    </w:rPr>
  </w:style>
  <w:style w:type="paragraph" w:styleId="Piedepgina">
    <w:name w:val="footer"/>
    <w:basedOn w:val="Normal"/>
    <w:link w:val="PiedepginaCar"/>
    <w:uiPriority w:val="99"/>
    <w:unhideWhenUsed/>
    <w:rsid w:val="00BB1E71"/>
    <w:pPr>
      <w:tabs>
        <w:tab w:val="center" w:pos="4419"/>
        <w:tab w:val="right" w:pos="8838"/>
      </w:tabs>
      <w:spacing w:after="0" w:line="240" w:lineRule="auto"/>
    </w:pPr>
    <w:rPr>
      <w:sz w:val="24"/>
      <w:szCs w:val="24"/>
    </w:rPr>
  </w:style>
  <w:style w:type="character" w:customStyle="1" w:styleId="PiedepginaCar">
    <w:name w:val="Pie de página Car"/>
    <w:basedOn w:val="Fuentedeprrafopredeter"/>
    <w:link w:val="Piedepgina"/>
    <w:uiPriority w:val="99"/>
    <w:rsid w:val="00BB1E71"/>
    <w:rPr>
      <w:sz w:val="24"/>
      <w:szCs w:val="24"/>
    </w:rPr>
  </w:style>
  <w:style w:type="paragraph" w:styleId="Prrafodelista">
    <w:name w:val="List Paragraph"/>
    <w:basedOn w:val="Normal"/>
    <w:uiPriority w:val="34"/>
    <w:qFormat/>
    <w:rsid w:val="00BB1E71"/>
    <w:pPr>
      <w:ind w:left="720"/>
      <w:contextualSpacing/>
    </w:pPr>
  </w:style>
  <w:style w:type="character" w:styleId="Hipervnculo">
    <w:name w:val="Hyperlink"/>
    <w:basedOn w:val="Fuentedeprrafopredeter"/>
    <w:uiPriority w:val="99"/>
    <w:unhideWhenUsed/>
    <w:rsid w:val="00BB1E71"/>
    <w:rPr>
      <w:color w:val="0563C1" w:themeColor="hyperlink"/>
      <w:u w:val="single"/>
    </w:rPr>
  </w:style>
  <w:style w:type="paragraph" w:styleId="Textonotapie">
    <w:name w:val="footnote text"/>
    <w:basedOn w:val="Normal"/>
    <w:link w:val="TextonotapieCar"/>
    <w:uiPriority w:val="99"/>
    <w:semiHidden/>
    <w:unhideWhenUsed/>
    <w:rsid w:val="00BB1E7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B1E71"/>
    <w:rPr>
      <w:sz w:val="20"/>
      <w:szCs w:val="20"/>
    </w:rPr>
  </w:style>
  <w:style w:type="character" w:styleId="Refdenotaalpie">
    <w:name w:val="footnote reference"/>
    <w:basedOn w:val="Fuentedeprrafopredeter"/>
    <w:uiPriority w:val="99"/>
    <w:semiHidden/>
    <w:unhideWhenUsed/>
    <w:rsid w:val="00BB1E71"/>
    <w:rPr>
      <w:vertAlign w:val="superscript"/>
    </w:rPr>
  </w:style>
  <w:style w:type="character" w:styleId="Mencinsinresolver">
    <w:name w:val="Unresolved Mention"/>
    <w:basedOn w:val="Fuentedeprrafopredeter"/>
    <w:uiPriority w:val="99"/>
    <w:semiHidden/>
    <w:unhideWhenUsed/>
    <w:rsid w:val="00061779"/>
    <w:rPr>
      <w:color w:val="605E5C"/>
      <w:shd w:val="clear" w:color="auto" w:fill="E1DFDD"/>
    </w:rPr>
  </w:style>
  <w:style w:type="character" w:styleId="Textodelmarcadordeposicin">
    <w:name w:val="Placeholder Text"/>
    <w:basedOn w:val="Fuentedeprrafopredeter"/>
    <w:uiPriority w:val="99"/>
    <w:semiHidden/>
    <w:rsid w:val="007D2E3C"/>
    <w:rPr>
      <w:color w:val="808080"/>
    </w:rPr>
  </w:style>
  <w:style w:type="paragraph" w:styleId="Revisin">
    <w:name w:val="Revision"/>
    <w:hidden/>
    <w:uiPriority w:val="99"/>
    <w:semiHidden/>
    <w:rsid w:val="008F0657"/>
    <w:pPr>
      <w:spacing w:after="0" w:line="240" w:lineRule="auto"/>
    </w:pPr>
  </w:style>
  <w:style w:type="character" w:styleId="Refdecomentario">
    <w:name w:val="annotation reference"/>
    <w:basedOn w:val="Fuentedeprrafopredeter"/>
    <w:uiPriority w:val="99"/>
    <w:semiHidden/>
    <w:unhideWhenUsed/>
    <w:rsid w:val="00871D6D"/>
    <w:rPr>
      <w:sz w:val="16"/>
      <w:szCs w:val="16"/>
    </w:rPr>
  </w:style>
  <w:style w:type="paragraph" w:styleId="Textocomentario">
    <w:name w:val="annotation text"/>
    <w:basedOn w:val="Normal"/>
    <w:link w:val="TextocomentarioCar"/>
    <w:uiPriority w:val="99"/>
    <w:unhideWhenUsed/>
    <w:rsid w:val="00871D6D"/>
    <w:pPr>
      <w:spacing w:line="240" w:lineRule="auto"/>
    </w:pPr>
    <w:rPr>
      <w:sz w:val="20"/>
      <w:szCs w:val="20"/>
    </w:rPr>
  </w:style>
  <w:style w:type="character" w:customStyle="1" w:styleId="TextocomentarioCar">
    <w:name w:val="Texto comentario Car"/>
    <w:basedOn w:val="Fuentedeprrafopredeter"/>
    <w:link w:val="Textocomentario"/>
    <w:uiPriority w:val="99"/>
    <w:rsid w:val="00871D6D"/>
    <w:rPr>
      <w:sz w:val="20"/>
      <w:szCs w:val="20"/>
    </w:rPr>
  </w:style>
  <w:style w:type="paragraph" w:styleId="Asuntodelcomentario">
    <w:name w:val="annotation subject"/>
    <w:basedOn w:val="Textocomentario"/>
    <w:next w:val="Textocomentario"/>
    <w:link w:val="AsuntodelcomentarioCar"/>
    <w:uiPriority w:val="99"/>
    <w:semiHidden/>
    <w:unhideWhenUsed/>
    <w:rsid w:val="00871D6D"/>
    <w:rPr>
      <w:b/>
      <w:bCs/>
    </w:rPr>
  </w:style>
  <w:style w:type="character" w:customStyle="1" w:styleId="AsuntodelcomentarioCar">
    <w:name w:val="Asunto del comentario Car"/>
    <w:basedOn w:val="TextocomentarioCar"/>
    <w:link w:val="Asuntodelcomentario"/>
    <w:uiPriority w:val="99"/>
    <w:semiHidden/>
    <w:rsid w:val="00871D6D"/>
    <w:rPr>
      <w:b/>
      <w:bCs/>
      <w:sz w:val="20"/>
      <w:szCs w:val="20"/>
    </w:rPr>
  </w:style>
  <w:style w:type="character" w:styleId="Hipervnculovisitado">
    <w:name w:val="FollowedHyperlink"/>
    <w:basedOn w:val="Fuentedeprrafopredeter"/>
    <w:uiPriority w:val="99"/>
    <w:semiHidden/>
    <w:unhideWhenUsed/>
    <w:rsid w:val="006121DF"/>
    <w:rPr>
      <w:color w:val="954F72" w:themeColor="followedHyperlink"/>
      <w:u w:val="single"/>
    </w:rPr>
  </w:style>
  <w:style w:type="paragraph" w:styleId="NormalWeb">
    <w:name w:val="Normal (Web)"/>
    <w:basedOn w:val="Normal"/>
    <w:uiPriority w:val="99"/>
    <w:unhideWhenUsed/>
    <w:rsid w:val="00492662"/>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504886">
      <w:bodyDiv w:val="1"/>
      <w:marLeft w:val="0"/>
      <w:marRight w:val="0"/>
      <w:marTop w:val="0"/>
      <w:marBottom w:val="0"/>
      <w:divBdr>
        <w:top w:val="none" w:sz="0" w:space="0" w:color="auto"/>
        <w:left w:val="none" w:sz="0" w:space="0" w:color="auto"/>
        <w:bottom w:val="none" w:sz="0" w:space="0" w:color="auto"/>
        <w:right w:val="none" w:sz="0" w:space="0" w:color="auto"/>
      </w:divBdr>
      <w:divsChild>
        <w:div w:id="1676030553">
          <w:marLeft w:val="0"/>
          <w:marRight w:val="0"/>
          <w:marTop w:val="0"/>
          <w:marBottom w:val="0"/>
          <w:divBdr>
            <w:top w:val="none" w:sz="0" w:space="0" w:color="auto"/>
            <w:left w:val="none" w:sz="0" w:space="0" w:color="auto"/>
            <w:bottom w:val="none" w:sz="0" w:space="0" w:color="auto"/>
            <w:right w:val="none" w:sz="0" w:space="0" w:color="auto"/>
          </w:divBdr>
          <w:divsChild>
            <w:div w:id="434641267">
              <w:marLeft w:val="0"/>
              <w:marRight w:val="0"/>
              <w:marTop w:val="0"/>
              <w:marBottom w:val="0"/>
              <w:divBdr>
                <w:top w:val="none" w:sz="0" w:space="0" w:color="auto"/>
                <w:left w:val="none" w:sz="0" w:space="0" w:color="auto"/>
                <w:bottom w:val="none" w:sz="0" w:space="0" w:color="auto"/>
                <w:right w:val="none" w:sz="0" w:space="0" w:color="auto"/>
              </w:divBdr>
              <w:divsChild>
                <w:div w:id="1021934528">
                  <w:marLeft w:val="0"/>
                  <w:marRight w:val="0"/>
                  <w:marTop w:val="0"/>
                  <w:marBottom w:val="0"/>
                  <w:divBdr>
                    <w:top w:val="none" w:sz="0" w:space="0" w:color="auto"/>
                    <w:left w:val="none" w:sz="0" w:space="0" w:color="auto"/>
                    <w:bottom w:val="none" w:sz="0" w:space="0" w:color="auto"/>
                    <w:right w:val="none" w:sz="0" w:space="0" w:color="auto"/>
                  </w:divBdr>
                  <w:divsChild>
                    <w:div w:id="2029788847">
                      <w:marLeft w:val="0"/>
                      <w:marRight w:val="0"/>
                      <w:marTop w:val="0"/>
                      <w:marBottom w:val="0"/>
                      <w:divBdr>
                        <w:top w:val="none" w:sz="0" w:space="0" w:color="auto"/>
                        <w:left w:val="none" w:sz="0" w:space="0" w:color="auto"/>
                        <w:bottom w:val="none" w:sz="0" w:space="0" w:color="auto"/>
                        <w:right w:val="none" w:sz="0" w:space="0" w:color="auto"/>
                      </w:divBdr>
                      <w:divsChild>
                        <w:div w:id="211696257">
                          <w:marLeft w:val="0"/>
                          <w:marRight w:val="0"/>
                          <w:marTop w:val="0"/>
                          <w:marBottom w:val="0"/>
                          <w:divBdr>
                            <w:top w:val="none" w:sz="0" w:space="0" w:color="auto"/>
                            <w:left w:val="none" w:sz="0" w:space="0" w:color="auto"/>
                            <w:bottom w:val="none" w:sz="0" w:space="0" w:color="auto"/>
                            <w:right w:val="none" w:sz="0" w:space="0" w:color="auto"/>
                          </w:divBdr>
                          <w:divsChild>
                            <w:div w:id="89771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tacto@campaymendoza.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femersimir.gob.mx/expedientes/29606"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72130b6-9fbd-43bd-8371-ee5186d4e2a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7F0D0616046D9C4D85037DEB3BE292CA" ma:contentTypeVersion="14" ma:contentTypeDescription="Crear nuevo documento." ma:contentTypeScope="" ma:versionID="6067f918adfc17d7216f1ee5862694e7">
  <xsd:schema xmlns:xsd="http://www.w3.org/2001/XMLSchema" xmlns:xs="http://www.w3.org/2001/XMLSchema" xmlns:p="http://schemas.microsoft.com/office/2006/metadata/properties" xmlns:ns3="372130b6-9fbd-43bd-8371-ee5186d4e2a8" xmlns:ns4="5097c1c2-9f83-49b4-b5b6-88434d4b45fd" targetNamespace="http://schemas.microsoft.com/office/2006/metadata/properties" ma:root="true" ma:fieldsID="ceccdc0d7562dacd6919ed94daf065cf" ns3:_="" ns4:_="">
    <xsd:import namespace="372130b6-9fbd-43bd-8371-ee5186d4e2a8"/>
    <xsd:import namespace="5097c1c2-9f83-49b4-b5b6-88434d4b45fd"/>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2130b6-9fbd-43bd-8371-ee5186d4e2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97c1c2-9f83-49b4-b5b6-88434d4b45fd"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SharingHintHash" ma:index="19"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A3773F-F4BC-493A-9EDD-E4F6142E7C30}">
  <ds:schemaRefs>
    <ds:schemaRef ds:uri="http://schemas.microsoft.com/office/2006/metadata/properties"/>
    <ds:schemaRef ds:uri="http://schemas.microsoft.com/office/infopath/2007/PartnerControls"/>
    <ds:schemaRef ds:uri="372130b6-9fbd-43bd-8371-ee5186d4e2a8"/>
  </ds:schemaRefs>
</ds:datastoreItem>
</file>

<file path=customXml/itemProps2.xml><?xml version="1.0" encoding="utf-8"?>
<ds:datastoreItem xmlns:ds="http://schemas.openxmlformats.org/officeDocument/2006/customXml" ds:itemID="{049E6085-68C6-4890-9DB6-89D94DCA38B2}">
  <ds:schemaRefs>
    <ds:schemaRef ds:uri="http://schemas.openxmlformats.org/officeDocument/2006/bibliography"/>
  </ds:schemaRefs>
</ds:datastoreItem>
</file>

<file path=customXml/itemProps3.xml><?xml version="1.0" encoding="utf-8"?>
<ds:datastoreItem xmlns:ds="http://schemas.openxmlformats.org/officeDocument/2006/customXml" ds:itemID="{ADE758AE-9DA7-4B98-962D-585C0586F8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2130b6-9fbd-43bd-8371-ee5186d4e2a8"/>
    <ds:schemaRef ds:uri="5097c1c2-9f83-49b4-b5b6-88434d4b45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20C90A-8EC5-4E07-BC1E-7334FC711A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1545</Words>
  <Characters>8831</Characters>
  <Application>Microsoft Office Word</Application>
  <DocSecurity>0</DocSecurity>
  <Lines>205</Lines>
  <Paragraphs>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Campa Garcia</dc:creator>
  <cp:keywords/>
  <dc:description/>
  <cp:lastModifiedBy>Bernardo Mendoza Ruenes</cp:lastModifiedBy>
  <cp:revision>17</cp:revision>
  <dcterms:created xsi:type="dcterms:W3CDTF">2024-07-01T23:15:00Z</dcterms:created>
  <dcterms:modified xsi:type="dcterms:W3CDTF">2024-07-02T22:46:00Z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0x0101007F0D0616046D9C4D85037DEB3BE292CA</vt:lpwstr>
  </property>
  <property fmtid="{D5CDD505-2E9C-101B-9397-08002B2CF9AE}" pid="3" name="GrammarlyDocumentId">
    <vt:lpwstr>e6af0643f22acd25d9cafab8cc7fbf5c3a5a985cf62359cf8f2cb9b9093a0620</vt:lpwstr>
  </property>
</Properties>
</file>