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0264" w14:textId="0F5EDE6B" w:rsidR="00F10699" w:rsidRPr="00466CB1" w:rsidRDefault="00466CB1" w:rsidP="00877580">
      <w:pPr>
        <w:tabs>
          <w:tab w:val="left" w:pos="567"/>
        </w:tabs>
        <w:spacing w:afterLines="50" w:after="120" w:line="276" w:lineRule="auto"/>
        <w:jc w:val="right"/>
        <w:rPr>
          <w:rFonts w:ascii="Merriweather" w:hAnsi="Merriweather" w:cs="Times New Roman"/>
          <w:color w:val="002060"/>
          <w:sz w:val="24"/>
          <w:szCs w:val="24"/>
          <w:lang w:val="en-US"/>
        </w:rPr>
      </w:pPr>
      <w:r w:rsidRPr="00466CB1">
        <w:rPr>
          <w:rFonts w:ascii="Merriweather" w:hAnsi="Merriweather" w:cs="Times New Roman"/>
          <w:color w:val="002060"/>
          <w:sz w:val="24"/>
          <w:szCs w:val="24"/>
          <w:lang w:val="en-US"/>
        </w:rPr>
        <w:t>July 1</w:t>
      </w:r>
      <w:r w:rsidRPr="00466CB1">
        <w:rPr>
          <w:rFonts w:ascii="Merriweather" w:hAnsi="Merriweather" w:cs="Times New Roman"/>
          <w:color w:val="002060"/>
          <w:sz w:val="24"/>
          <w:szCs w:val="24"/>
          <w:vertAlign w:val="superscript"/>
          <w:lang w:val="en-US"/>
        </w:rPr>
        <w:t>st</w:t>
      </w:r>
      <w:r>
        <w:rPr>
          <w:rFonts w:ascii="Merriweather" w:hAnsi="Merriweather" w:cs="Times New Roman"/>
          <w:color w:val="002060"/>
          <w:sz w:val="24"/>
          <w:szCs w:val="24"/>
          <w:lang w:val="en-US"/>
        </w:rPr>
        <w:t>, 2024</w:t>
      </w:r>
    </w:p>
    <w:p w14:paraId="5C242FF6" w14:textId="7350DB23" w:rsidR="0073648A" w:rsidRPr="0073648A" w:rsidRDefault="00F10699" w:rsidP="0073648A">
      <w:pPr>
        <w:spacing w:afterLines="50" w:after="120" w:line="276" w:lineRule="auto"/>
        <w:jc w:val="center"/>
        <w:rPr>
          <w:rFonts w:ascii="Merriweather" w:hAnsi="Merriweather" w:cs="Times New Roman"/>
          <w:b/>
          <w:bCs/>
          <w:color w:val="002060"/>
          <w:sz w:val="24"/>
          <w:szCs w:val="24"/>
        </w:rPr>
      </w:pPr>
      <w:r w:rsidRPr="00466CB1">
        <w:rPr>
          <w:rFonts w:ascii="Merriweather" w:hAnsi="Merriweather" w:cs="Times New Roman"/>
          <w:b/>
          <w:bCs/>
          <w:color w:val="002060"/>
          <w:sz w:val="24"/>
          <w:szCs w:val="24"/>
        </w:rPr>
        <w:t xml:space="preserve">Client </w:t>
      </w:r>
      <w:proofErr w:type="spellStart"/>
      <w:r w:rsidRPr="00466CB1">
        <w:rPr>
          <w:rFonts w:ascii="Merriweather" w:hAnsi="Merriweather" w:cs="Times New Roman"/>
          <w:b/>
          <w:bCs/>
          <w:color w:val="002060"/>
          <w:sz w:val="24"/>
          <w:szCs w:val="24"/>
        </w:rPr>
        <w:t>Alert</w:t>
      </w:r>
      <w:proofErr w:type="spellEnd"/>
    </w:p>
    <w:p w14:paraId="04C99ACE" w14:textId="52297A7F" w:rsidR="00BB1E71" w:rsidRPr="00466CB1" w:rsidRDefault="00BB1E71" w:rsidP="00877580">
      <w:pPr>
        <w:spacing w:afterLines="50" w:after="120" w:line="276" w:lineRule="auto"/>
        <w:contextualSpacing/>
        <w:jc w:val="center"/>
        <w:rPr>
          <w:rFonts w:ascii="Times New Roman" w:hAnsi="Times New Roman" w:cs="Times New Roman"/>
          <w:b/>
          <w:smallCaps/>
          <w:sz w:val="24"/>
          <w:szCs w:val="24"/>
          <w:lang w:val="en-US"/>
        </w:rPr>
      </w:pPr>
      <w:r w:rsidRPr="00466CB1">
        <w:rPr>
          <w:rFonts w:ascii="Times New Roman" w:hAnsi="Times New Roman" w:cs="Times New Roman"/>
          <w:b/>
          <w:smallCaps/>
          <w:sz w:val="24"/>
          <w:szCs w:val="24"/>
          <w:lang w:val="en-US"/>
        </w:rPr>
        <w:t xml:space="preserve"> </w:t>
      </w:r>
      <w:r w:rsidR="00466CB1" w:rsidRPr="00466CB1">
        <w:rPr>
          <w:rFonts w:ascii="Times New Roman" w:hAnsi="Times New Roman" w:cs="Times New Roman"/>
          <w:b/>
          <w:smallCaps/>
          <w:sz w:val="24"/>
          <w:szCs w:val="24"/>
          <w:lang w:val="en-US"/>
        </w:rPr>
        <w:t xml:space="preserve">The National Banking and Securities Commission prepares </w:t>
      </w:r>
      <w:proofErr w:type="spellStart"/>
      <w:r w:rsidR="00466CB1" w:rsidRPr="00466CB1">
        <w:rPr>
          <w:rFonts w:ascii="Times New Roman" w:hAnsi="Times New Roman" w:cs="Times New Roman"/>
          <w:b/>
          <w:smallCaps/>
          <w:sz w:val="24"/>
          <w:szCs w:val="24"/>
          <w:lang w:val="en-US"/>
        </w:rPr>
        <w:t>ammendments</w:t>
      </w:r>
      <w:proofErr w:type="spellEnd"/>
      <w:r w:rsidR="00466CB1" w:rsidRPr="00466CB1">
        <w:rPr>
          <w:rFonts w:ascii="Times New Roman" w:hAnsi="Times New Roman" w:cs="Times New Roman"/>
          <w:b/>
          <w:smallCaps/>
          <w:sz w:val="24"/>
          <w:szCs w:val="24"/>
          <w:lang w:val="en-US"/>
        </w:rPr>
        <w:t xml:space="preserve"> to the General Provisions referred to in article 115 of the Credit Institutions Law</w:t>
      </w:r>
    </w:p>
    <w:p w14:paraId="04E346D0" w14:textId="77777777" w:rsidR="004D294B" w:rsidRPr="00466CB1" w:rsidRDefault="004D294B" w:rsidP="00877580">
      <w:pPr>
        <w:spacing w:afterLines="50" w:after="120" w:line="276" w:lineRule="auto"/>
        <w:contextualSpacing/>
        <w:rPr>
          <w:rFonts w:ascii="Times New Roman" w:hAnsi="Times New Roman" w:cs="Times New Roman"/>
          <w:b/>
          <w:bCs/>
          <w:smallCaps/>
          <w:sz w:val="24"/>
          <w:szCs w:val="24"/>
          <w:lang w:val="en-US"/>
        </w:rPr>
      </w:pPr>
    </w:p>
    <w:p w14:paraId="4E8EDD30" w14:textId="43E99345" w:rsidR="00195BF3" w:rsidRPr="00466CB1" w:rsidRDefault="00466CB1" w:rsidP="00877580">
      <w:pPr>
        <w:pStyle w:val="Prrafodelista"/>
        <w:numPr>
          <w:ilvl w:val="0"/>
          <w:numId w:val="12"/>
        </w:numPr>
        <w:tabs>
          <w:tab w:val="left" w:pos="7938"/>
        </w:tabs>
        <w:spacing w:after="0" w:line="276" w:lineRule="auto"/>
        <w:ind w:left="426" w:right="900"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Background</w:t>
      </w:r>
    </w:p>
    <w:p w14:paraId="5D9D87F6" w14:textId="77777777" w:rsidR="004F7CF0" w:rsidRPr="00466CB1" w:rsidRDefault="004F7CF0" w:rsidP="00877580">
      <w:pPr>
        <w:spacing w:after="0" w:line="276" w:lineRule="auto"/>
        <w:jc w:val="both"/>
        <w:rPr>
          <w:rFonts w:ascii="Times New Roman" w:hAnsi="Times New Roman" w:cs="Times New Roman"/>
          <w:sz w:val="24"/>
          <w:szCs w:val="24"/>
          <w:lang w:val="en-US"/>
        </w:rPr>
      </w:pPr>
    </w:p>
    <w:p w14:paraId="6ABCB955" w14:textId="1C3D62B5" w:rsidR="00466CB1" w:rsidRPr="00466CB1" w:rsidRDefault="00466CB1" w:rsidP="00877580">
      <w:pPr>
        <w:spacing w:after="0" w:line="276" w:lineRule="auto"/>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On May 31</w:t>
      </w:r>
      <w:r w:rsidR="00877580">
        <w:rPr>
          <w:rFonts w:ascii="Times New Roman" w:hAnsi="Times New Roman" w:cs="Times New Roman"/>
          <w:sz w:val="24"/>
          <w:szCs w:val="24"/>
          <w:lang w:val="en-US"/>
        </w:rPr>
        <w:t>, 2024</w:t>
      </w:r>
      <w:r w:rsidRPr="00466CB1">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466CB1">
        <w:rPr>
          <w:rFonts w:ascii="Times New Roman" w:hAnsi="Times New Roman" w:cs="Times New Roman"/>
          <w:sz w:val="24"/>
          <w:szCs w:val="24"/>
          <w:lang w:val="en-US"/>
        </w:rPr>
        <w:t xml:space="preserve">he </w:t>
      </w:r>
      <w:r>
        <w:rPr>
          <w:rFonts w:ascii="Times New Roman" w:hAnsi="Times New Roman" w:cs="Times New Roman"/>
          <w:sz w:val="24"/>
          <w:szCs w:val="24"/>
          <w:lang w:val="en-US"/>
        </w:rPr>
        <w:t>National Banking and Securities Commission (“</w:t>
      </w:r>
      <w:r w:rsidRPr="00466CB1">
        <w:rPr>
          <w:rFonts w:ascii="Times New Roman" w:hAnsi="Times New Roman" w:cs="Times New Roman"/>
          <w:b/>
          <w:bCs/>
          <w:sz w:val="24"/>
          <w:szCs w:val="24"/>
          <w:lang w:val="en-US"/>
        </w:rPr>
        <w:t>CNBV</w:t>
      </w:r>
      <w:r>
        <w:rPr>
          <w:rFonts w:ascii="Times New Roman" w:hAnsi="Times New Roman" w:cs="Times New Roman"/>
          <w:sz w:val="24"/>
          <w:szCs w:val="24"/>
          <w:lang w:val="en-US"/>
        </w:rPr>
        <w:t>”)</w:t>
      </w:r>
      <w:r w:rsidRPr="00466CB1">
        <w:rPr>
          <w:rFonts w:ascii="Times New Roman" w:hAnsi="Times New Roman" w:cs="Times New Roman"/>
          <w:sz w:val="24"/>
          <w:szCs w:val="24"/>
          <w:lang w:val="en-US"/>
        </w:rPr>
        <w:t xml:space="preserve"> sent to the National Commission for Regulatory Improvement (“</w:t>
      </w:r>
      <w:r w:rsidRPr="00466CB1">
        <w:rPr>
          <w:rFonts w:ascii="Times New Roman" w:hAnsi="Times New Roman" w:cs="Times New Roman"/>
          <w:b/>
          <w:bCs/>
          <w:sz w:val="24"/>
          <w:szCs w:val="24"/>
          <w:lang w:val="en-US"/>
        </w:rPr>
        <w:t>CONAMER</w:t>
      </w:r>
      <w:r w:rsidRPr="00466CB1">
        <w:rPr>
          <w:rFonts w:ascii="Times New Roman" w:hAnsi="Times New Roman" w:cs="Times New Roman"/>
          <w:sz w:val="24"/>
          <w:szCs w:val="24"/>
          <w:lang w:val="en-US"/>
        </w:rPr>
        <w:t>”) the “</w:t>
      </w:r>
      <w:r w:rsidRPr="00466CB1">
        <w:rPr>
          <w:rFonts w:ascii="Times New Roman" w:hAnsi="Times New Roman" w:cs="Times New Roman"/>
          <w:i/>
          <w:iCs/>
          <w:sz w:val="24"/>
          <w:szCs w:val="24"/>
          <w:lang w:val="en-US"/>
        </w:rPr>
        <w:t>Resolution that reforms, adds, and repeals various of the General Provisions referred to in Article 115 of the Credit Institutions Law</w:t>
      </w:r>
      <w:r w:rsidRPr="00466CB1">
        <w:rPr>
          <w:rFonts w:ascii="Times New Roman" w:hAnsi="Times New Roman" w:cs="Times New Roman"/>
          <w:sz w:val="24"/>
          <w:szCs w:val="24"/>
          <w:lang w:val="en-US"/>
        </w:rPr>
        <w:t>” (the “</w:t>
      </w:r>
      <w:r w:rsidRPr="00466CB1">
        <w:rPr>
          <w:rFonts w:ascii="Times New Roman" w:hAnsi="Times New Roman" w:cs="Times New Roman"/>
          <w:b/>
          <w:bCs/>
          <w:sz w:val="24"/>
          <w:szCs w:val="24"/>
          <w:lang w:val="en-US"/>
        </w:rPr>
        <w:t>Draft</w:t>
      </w:r>
      <w:r w:rsidRPr="00466CB1">
        <w:rPr>
          <w:rFonts w:ascii="Times New Roman" w:hAnsi="Times New Roman" w:cs="Times New Roman"/>
          <w:sz w:val="24"/>
          <w:szCs w:val="24"/>
          <w:lang w:val="en-US"/>
        </w:rPr>
        <w:t>”). The complete file can be viewed here.</w:t>
      </w:r>
    </w:p>
    <w:p w14:paraId="651EF441"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6F8D3D8C" w14:textId="20DF0AD6" w:rsidR="00466CB1" w:rsidRPr="00466CB1" w:rsidRDefault="00466CB1" w:rsidP="00877580">
      <w:pPr>
        <w:spacing w:after="0" w:line="276" w:lineRule="auto"/>
        <w:ind w:firstLine="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The Draft responds to the call made by the Financial Action Task Force (“</w:t>
      </w:r>
      <w:r w:rsidRPr="00F124AA">
        <w:rPr>
          <w:rFonts w:ascii="Times New Roman" w:hAnsi="Times New Roman" w:cs="Times New Roman"/>
          <w:b/>
          <w:bCs/>
          <w:sz w:val="24"/>
          <w:szCs w:val="24"/>
          <w:lang w:val="en-US"/>
        </w:rPr>
        <w:t>FATF</w:t>
      </w:r>
      <w:r w:rsidRPr="00466CB1">
        <w:rPr>
          <w:rFonts w:ascii="Times New Roman" w:hAnsi="Times New Roman" w:cs="Times New Roman"/>
          <w:sz w:val="24"/>
          <w:szCs w:val="24"/>
          <w:lang w:val="en-US"/>
        </w:rPr>
        <w:t>”) for the use of financial technology by financial institutions (“</w:t>
      </w:r>
      <w:r w:rsidRPr="00F124AA">
        <w:rPr>
          <w:rFonts w:ascii="Times New Roman" w:hAnsi="Times New Roman" w:cs="Times New Roman"/>
          <w:b/>
          <w:bCs/>
          <w:sz w:val="24"/>
          <w:szCs w:val="24"/>
          <w:lang w:val="en-US"/>
        </w:rPr>
        <w:t>Institutions</w:t>
      </w:r>
      <w:r w:rsidRPr="00466CB1">
        <w:rPr>
          <w:rFonts w:ascii="Times New Roman" w:hAnsi="Times New Roman" w:cs="Times New Roman"/>
          <w:sz w:val="24"/>
          <w:szCs w:val="24"/>
          <w:lang w:val="en-US"/>
        </w:rPr>
        <w:t>”) for the prevention of money laundering and terroris</w:t>
      </w:r>
      <w:r w:rsidR="00877580">
        <w:rPr>
          <w:rFonts w:ascii="Times New Roman" w:hAnsi="Times New Roman" w:cs="Times New Roman"/>
          <w:sz w:val="24"/>
          <w:szCs w:val="24"/>
          <w:lang w:val="en-US"/>
        </w:rPr>
        <w:t>m</w:t>
      </w:r>
      <w:r w:rsidRPr="00466CB1">
        <w:rPr>
          <w:rFonts w:ascii="Times New Roman" w:hAnsi="Times New Roman" w:cs="Times New Roman"/>
          <w:sz w:val="24"/>
          <w:szCs w:val="24"/>
          <w:lang w:val="en-US"/>
        </w:rPr>
        <w:t xml:space="preserve"> financing (“</w:t>
      </w:r>
      <w:r w:rsidRPr="00F124AA">
        <w:rPr>
          <w:rFonts w:ascii="Times New Roman" w:hAnsi="Times New Roman" w:cs="Times New Roman"/>
          <w:b/>
          <w:bCs/>
          <w:sz w:val="24"/>
          <w:szCs w:val="24"/>
          <w:lang w:val="en-US"/>
        </w:rPr>
        <w:t>ML/TF</w:t>
      </w:r>
      <w:r w:rsidRPr="00466CB1">
        <w:rPr>
          <w:rFonts w:ascii="Times New Roman" w:hAnsi="Times New Roman" w:cs="Times New Roman"/>
          <w:sz w:val="24"/>
          <w:szCs w:val="24"/>
          <w:lang w:val="en-US"/>
        </w:rPr>
        <w:t>”).</w:t>
      </w:r>
    </w:p>
    <w:p w14:paraId="187F1F32"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5FDC740A" w14:textId="65B3785C" w:rsidR="00466CB1" w:rsidRPr="00466CB1" w:rsidRDefault="00466CB1" w:rsidP="00877580">
      <w:pPr>
        <w:spacing w:after="0" w:line="276" w:lineRule="auto"/>
        <w:ind w:firstLine="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Since March 2019, a non-face-to-face identification regime has been incorporated into </w:t>
      </w:r>
      <w:r w:rsidR="00F124AA">
        <w:rPr>
          <w:rFonts w:ascii="Times New Roman" w:hAnsi="Times New Roman" w:cs="Times New Roman"/>
          <w:sz w:val="24"/>
          <w:szCs w:val="24"/>
          <w:lang w:val="en-US"/>
        </w:rPr>
        <w:t xml:space="preserve">the </w:t>
      </w:r>
      <w:r w:rsidRPr="00466CB1">
        <w:rPr>
          <w:rFonts w:ascii="Times New Roman" w:hAnsi="Times New Roman" w:cs="Times New Roman"/>
          <w:sz w:val="24"/>
          <w:szCs w:val="24"/>
          <w:lang w:val="en-US"/>
        </w:rPr>
        <w:t xml:space="preserve">Mexican regulation in terms of ML/TF; however, it has been insufficient </w:t>
      </w:r>
      <w:r w:rsidR="008C3CBC">
        <w:rPr>
          <w:rFonts w:ascii="Times New Roman" w:hAnsi="Times New Roman" w:cs="Times New Roman"/>
          <w:sz w:val="24"/>
          <w:szCs w:val="24"/>
          <w:lang w:val="en-US"/>
        </w:rPr>
        <w:t xml:space="preserve">regarding </w:t>
      </w:r>
      <w:r w:rsidR="00F124AA">
        <w:rPr>
          <w:rFonts w:ascii="Times New Roman" w:hAnsi="Times New Roman" w:cs="Times New Roman"/>
          <w:sz w:val="24"/>
          <w:szCs w:val="24"/>
          <w:lang w:val="en-US"/>
        </w:rPr>
        <w:t>the existing</w:t>
      </w:r>
      <w:r w:rsidRPr="00466CB1">
        <w:rPr>
          <w:rFonts w:ascii="Times New Roman" w:hAnsi="Times New Roman" w:cs="Times New Roman"/>
          <w:sz w:val="24"/>
          <w:szCs w:val="24"/>
          <w:lang w:val="en-US"/>
        </w:rPr>
        <w:t xml:space="preserve"> risks </w:t>
      </w:r>
      <w:r w:rsidR="00F124AA">
        <w:rPr>
          <w:rFonts w:ascii="Times New Roman" w:hAnsi="Times New Roman" w:cs="Times New Roman"/>
          <w:sz w:val="24"/>
          <w:szCs w:val="24"/>
          <w:lang w:val="en-US"/>
        </w:rPr>
        <w:t xml:space="preserve">and </w:t>
      </w:r>
      <w:r w:rsidRPr="00466CB1">
        <w:rPr>
          <w:rFonts w:ascii="Times New Roman" w:hAnsi="Times New Roman" w:cs="Times New Roman"/>
          <w:sz w:val="24"/>
          <w:szCs w:val="24"/>
          <w:lang w:val="en-US"/>
        </w:rPr>
        <w:t xml:space="preserve">considering the update </w:t>
      </w:r>
      <w:r w:rsidR="00F124AA">
        <w:rPr>
          <w:rFonts w:ascii="Times New Roman" w:hAnsi="Times New Roman" w:cs="Times New Roman"/>
          <w:sz w:val="24"/>
          <w:szCs w:val="24"/>
          <w:lang w:val="en-US"/>
        </w:rPr>
        <w:t>on</w:t>
      </w:r>
      <w:r w:rsidRPr="00466CB1">
        <w:rPr>
          <w:rFonts w:ascii="Times New Roman" w:hAnsi="Times New Roman" w:cs="Times New Roman"/>
          <w:sz w:val="24"/>
          <w:szCs w:val="24"/>
          <w:lang w:val="en-US"/>
        </w:rPr>
        <w:t xml:space="preserve"> the 2023 National Risk Assessment.</w:t>
      </w:r>
    </w:p>
    <w:p w14:paraId="275C8A49"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4640ECC7" w14:textId="43C86489" w:rsidR="0073648A" w:rsidRDefault="00466CB1" w:rsidP="0073648A">
      <w:pPr>
        <w:spacing w:after="0" w:line="276" w:lineRule="auto"/>
        <w:ind w:firstLine="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The Draft is in the process of public consultation for at least 20 business days, with the aim that any interested person may send comments and suggestions, which must be addressed by the authority prior to its publication in the Official Gazette of the Federation</w:t>
      </w:r>
      <w:r w:rsidR="00F124AA">
        <w:rPr>
          <w:rFonts w:ascii="Times New Roman" w:hAnsi="Times New Roman" w:cs="Times New Roman"/>
          <w:sz w:val="24"/>
          <w:szCs w:val="24"/>
          <w:lang w:val="en-US"/>
        </w:rPr>
        <w:t>.</w:t>
      </w:r>
    </w:p>
    <w:p w14:paraId="066F9C00" w14:textId="77777777" w:rsidR="008C3CBC" w:rsidRPr="00466CB1" w:rsidRDefault="008C3CBC" w:rsidP="00877580">
      <w:pPr>
        <w:spacing w:after="0" w:line="276" w:lineRule="auto"/>
        <w:jc w:val="both"/>
        <w:rPr>
          <w:rFonts w:ascii="Times New Roman" w:hAnsi="Times New Roman" w:cs="Times New Roman"/>
          <w:sz w:val="24"/>
          <w:szCs w:val="24"/>
          <w:lang w:val="en-US"/>
        </w:rPr>
      </w:pPr>
    </w:p>
    <w:p w14:paraId="27B6C9A3" w14:textId="709936B7" w:rsidR="00466CB1" w:rsidRPr="00F124AA" w:rsidRDefault="00466CB1" w:rsidP="00877580">
      <w:pPr>
        <w:pStyle w:val="Prrafodelista"/>
        <w:numPr>
          <w:ilvl w:val="0"/>
          <w:numId w:val="12"/>
        </w:numPr>
        <w:tabs>
          <w:tab w:val="left" w:pos="7938"/>
        </w:tabs>
        <w:spacing w:after="0" w:line="276" w:lineRule="auto"/>
        <w:ind w:left="426" w:right="900" w:hanging="426"/>
        <w:jc w:val="both"/>
        <w:rPr>
          <w:rFonts w:ascii="Times New Roman" w:hAnsi="Times New Roman" w:cs="Times New Roman"/>
          <w:b/>
          <w:bCs/>
          <w:sz w:val="24"/>
          <w:szCs w:val="24"/>
          <w:lang w:val="en-US"/>
        </w:rPr>
      </w:pPr>
      <w:r w:rsidRPr="00F124AA">
        <w:rPr>
          <w:rFonts w:ascii="Times New Roman" w:hAnsi="Times New Roman" w:cs="Times New Roman"/>
          <w:b/>
          <w:bCs/>
          <w:sz w:val="24"/>
          <w:szCs w:val="24"/>
          <w:lang w:val="en-US"/>
        </w:rPr>
        <w:t>Content of the Draft</w:t>
      </w:r>
    </w:p>
    <w:p w14:paraId="0DC2DD7E" w14:textId="77777777" w:rsidR="00F124AA" w:rsidRPr="00466CB1" w:rsidRDefault="00F124AA" w:rsidP="00877580">
      <w:pPr>
        <w:spacing w:after="0" w:line="276" w:lineRule="auto"/>
        <w:jc w:val="both"/>
        <w:rPr>
          <w:rFonts w:ascii="Times New Roman" w:hAnsi="Times New Roman" w:cs="Times New Roman"/>
          <w:sz w:val="24"/>
          <w:szCs w:val="24"/>
          <w:lang w:val="en-US"/>
        </w:rPr>
      </w:pPr>
    </w:p>
    <w:p w14:paraId="17ADAB07" w14:textId="476794C4" w:rsidR="00466CB1" w:rsidRPr="00F124AA" w:rsidRDefault="00466CB1" w:rsidP="00877580">
      <w:pPr>
        <w:pStyle w:val="Prrafodelista"/>
        <w:numPr>
          <w:ilvl w:val="0"/>
          <w:numId w:val="22"/>
        </w:numPr>
        <w:spacing w:after="0" w:line="276" w:lineRule="auto"/>
        <w:ind w:left="426" w:hanging="426"/>
        <w:jc w:val="both"/>
        <w:rPr>
          <w:rFonts w:ascii="Times New Roman" w:hAnsi="Times New Roman" w:cs="Times New Roman"/>
          <w:b/>
          <w:bCs/>
          <w:sz w:val="24"/>
          <w:szCs w:val="24"/>
          <w:lang w:val="en-US"/>
        </w:rPr>
      </w:pPr>
      <w:r w:rsidRPr="00F124AA">
        <w:rPr>
          <w:rFonts w:ascii="Times New Roman" w:hAnsi="Times New Roman" w:cs="Times New Roman"/>
          <w:b/>
          <w:bCs/>
          <w:sz w:val="24"/>
          <w:szCs w:val="24"/>
          <w:lang w:val="en-US"/>
        </w:rPr>
        <w:t>Permitted Identifications</w:t>
      </w:r>
    </w:p>
    <w:p w14:paraId="7C86F379"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31398ED2" w14:textId="3D48CDE6" w:rsidR="0073648A" w:rsidRPr="0073648A" w:rsidRDefault="00466CB1" w:rsidP="0073648A">
      <w:pPr>
        <w:pStyle w:val="Prrafodelista"/>
        <w:numPr>
          <w:ilvl w:val="0"/>
          <w:numId w:val="23"/>
        </w:numPr>
        <w:spacing w:after="0" w:line="276" w:lineRule="auto"/>
        <w:ind w:left="426"/>
        <w:jc w:val="both"/>
        <w:rPr>
          <w:rFonts w:ascii="Times New Roman" w:hAnsi="Times New Roman" w:cs="Times New Roman"/>
          <w:sz w:val="24"/>
          <w:szCs w:val="24"/>
          <w:u w:val="single"/>
          <w:lang w:val="en-US"/>
        </w:rPr>
      </w:pPr>
      <w:r w:rsidRPr="00F124AA">
        <w:rPr>
          <w:rFonts w:ascii="Times New Roman" w:hAnsi="Times New Roman" w:cs="Times New Roman"/>
          <w:sz w:val="24"/>
          <w:szCs w:val="24"/>
          <w:u w:val="single"/>
          <w:lang w:val="en-US"/>
        </w:rPr>
        <w:t xml:space="preserve">The identification document may serve as proof of address, </w:t>
      </w:r>
      <w:proofErr w:type="gramStart"/>
      <w:r w:rsidR="008C3CBC">
        <w:rPr>
          <w:rFonts w:ascii="Times New Roman" w:hAnsi="Times New Roman" w:cs="Times New Roman"/>
          <w:sz w:val="24"/>
          <w:szCs w:val="24"/>
          <w:u w:val="single"/>
          <w:lang w:val="en-US"/>
        </w:rPr>
        <w:t>as long as</w:t>
      </w:r>
      <w:proofErr w:type="gramEnd"/>
      <w:r w:rsidRPr="00F124AA">
        <w:rPr>
          <w:rFonts w:ascii="Times New Roman" w:hAnsi="Times New Roman" w:cs="Times New Roman"/>
          <w:sz w:val="24"/>
          <w:szCs w:val="24"/>
          <w:u w:val="single"/>
          <w:lang w:val="en-US"/>
        </w:rPr>
        <w:t xml:space="preserve"> it is the</w:t>
      </w:r>
      <w:r w:rsidR="008C3CBC">
        <w:rPr>
          <w:rFonts w:ascii="Times New Roman" w:hAnsi="Times New Roman" w:cs="Times New Roman"/>
          <w:sz w:val="24"/>
          <w:szCs w:val="24"/>
          <w:u w:val="single"/>
          <w:lang w:val="en-US"/>
        </w:rPr>
        <w:t xml:space="preserve"> same</w:t>
      </w:r>
      <w:r w:rsidRPr="00F124AA">
        <w:rPr>
          <w:rFonts w:ascii="Times New Roman" w:hAnsi="Times New Roman" w:cs="Times New Roman"/>
          <w:sz w:val="24"/>
          <w:szCs w:val="24"/>
          <w:u w:val="single"/>
          <w:lang w:val="en-US"/>
        </w:rPr>
        <w:t xml:space="preserve"> address indicated by the Client.</w:t>
      </w:r>
    </w:p>
    <w:p w14:paraId="591FBD65" w14:textId="71BF8296" w:rsidR="00F124AA" w:rsidRPr="00F124AA" w:rsidRDefault="00466CB1" w:rsidP="00877580">
      <w:pPr>
        <w:pStyle w:val="Prrafodelista"/>
        <w:numPr>
          <w:ilvl w:val="0"/>
          <w:numId w:val="23"/>
        </w:numPr>
        <w:spacing w:after="0" w:line="276" w:lineRule="auto"/>
        <w:ind w:left="426"/>
        <w:jc w:val="both"/>
        <w:rPr>
          <w:rFonts w:ascii="Times New Roman" w:hAnsi="Times New Roman" w:cs="Times New Roman"/>
          <w:sz w:val="24"/>
          <w:szCs w:val="24"/>
          <w:u w:val="single"/>
          <w:lang w:val="en-US"/>
        </w:rPr>
      </w:pPr>
      <w:r w:rsidRPr="00F124AA">
        <w:rPr>
          <w:rFonts w:ascii="Times New Roman" w:hAnsi="Times New Roman" w:cs="Times New Roman"/>
          <w:sz w:val="24"/>
          <w:szCs w:val="24"/>
          <w:u w:val="single"/>
          <w:lang w:val="en-US"/>
        </w:rPr>
        <w:lastRenderedPageBreak/>
        <w:t>New identification documents:</w:t>
      </w:r>
      <w:r w:rsidRPr="00F124AA">
        <w:rPr>
          <w:rFonts w:ascii="Times New Roman" w:hAnsi="Times New Roman" w:cs="Times New Roman"/>
          <w:sz w:val="24"/>
          <w:szCs w:val="24"/>
          <w:lang w:val="en-US"/>
        </w:rPr>
        <w:t xml:space="preserve"> The Draft includes new documents to facilitate the identification process both in</w:t>
      </w:r>
      <w:r w:rsidR="00F124AA">
        <w:rPr>
          <w:rFonts w:ascii="Times New Roman" w:hAnsi="Times New Roman" w:cs="Times New Roman"/>
          <w:sz w:val="24"/>
          <w:szCs w:val="24"/>
          <w:lang w:val="en-US"/>
        </w:rPr>
        <w:t xml:space="preserve"> </w:t>
      </w:r>
      <w:r w:rsidRPr="00F124AA">
        <w:rPr>
          <w:rFonts w:ascii="Times New Roman" w:hAnsi="Times New Roman" w:cs="Times New Roman"/>
          <w:sz w:val="24"/>
          <w:szCs w:val="24"/>
          <w:lang w:val="en-US"/>
        </w:rPr>
        <w:t>person and remotely: the military identity card, the voter ID issued by consular offices of the Ministry of Foreign Affairs (“</w:t>
      </w:r>
      <w:r w:rsidRPr="00F124AA">
        <w:rPr>
          <w:rFonts w:ascii="Times New Roman" w:hAnsi="Times New Roman" w:cs="Times New Roman"/>
          <w:b/>
          <w:bCs/>
          <w:sz w:val="24"/>
          <w:szCs w:val="24"/>
          <w:lang w:val="en-US"/>
        </w:rPr>
        <w:t>SRE</w:t>
      </w:r>
      <w:r w:rsidRPr="00F124AA">
        <w:rPr>
          <w:rFonts w:ascii="Times New Roman" w:hAnsi="Times New Roman" w:cs="Times New Roman"/>
          <w:sz w:val="24"/>
          <w:szCs w:val="24"/>
          <w:lang w:val="en-US"/>
        </w:rPr>
        <w:t>”); identifications granted abroad other than the passport, such as driver's license and credentials issued by federal or equivalent authorities.</w:t>
      </w:r>
    </w:p>
    <w:p w14:paraId="31B1AB87" w14:textId="77777777" w:rsidR="00F124AA" w:rsidRPr="00F124AA" w:rsidRDefault="00F124AA" w:rsidP="00877580">
      <w:pPr>
        <w:pStyle w:val="Prrafodelista"/>
        <w:spacing w:after="0"/>
        <w:rPr>
          <w:rFonts w:ascii="Times New Roman" w:hAnsi="Times New Roman" w:cs="Times New Roman"/>
          <w:sz w:val="24"/>
          <w:szCs w:val="24"/>
          <w:lang w:val="en-US"/>
        </w:rPr>
      </w:pPr>
    </w:p>
    <w:p w14:paraId="44BFC24B" w14:textId="364A3D55" w:rsidR="00466CB1" w:rsidRPr="00F124AA" w:rsidRDefault="00466CB1" w:rsidP="00877580">
      <w:pPr>
        <w:pStyle w:val="Prrafodelista"/>
        <w:numPr>
          <w:ilvl w:val="0"/>
          <w:numId w:val="23"/>
        </w:numPr>
        <w:spacing w:after="0" w:line="276" w:lineRule="auto"/>
        <w:ind w:left="426"/>
        <w:jc w:val="both"/>
        <w:rPr>
          <w:rFonts w:ascii="Times New Roman" w:hAnsi="Times New Roman" w:cs="Times New Roman"/>
          <w:sz w:val="24"/>
          <w:szCs w:val="24"/>
          <w:u w:val="single"/>
          <w:lang w:val="en-US"/>
        </w:rPr>
      </w:pPr>
      <w:r w:rsidRPr="00F124AA">
        <w:rPr>
          <w:rFonts w:ascii="Times New Roman" w:hAnsi="Times New Roman" w:cs="Times New Roman"/>
          <w:sz w:val="24"/>
          <w:szCs w:val="24"/>
          <w:lang w:val="en-US"/>
        </w:rPr>
        <w:t xml:space="preserve">Foreign persons with refugee status may present their </w:t>
      </w:r>
      <w:r w:rsidRPr="00F124AA">
        <w:rPr>
          <w:rFonts w:ascii="Times New Roman" w:hAnsi="Times New Roman" w:cs="Times New Roman"/>
          <w:sz w:val="24"/>
          <w:szCs w:val="24"/>
          <w:u w:val="single"/>
          <w:lang w:val="en-US"/>
        </w:rPr>
        <w:t>temporary CURP</w:t>
      </w:r>
      <w:r w:rsidRPr="00F124AA">
        <w:rPr>
          <w:rFonts w:ascii="Times New Roman" w:hAnsi="Times New Roman" w:cs="Times New Roman"/>
          <w:sz w:val="24"/>
          <w:szCs w:val="24"/>
          <w:lang w:val="en-US"/>
        </w:rPr>
        <w:t>. Their accounts will be level 2 low-risk.</w:t>
      </w:r>
    </w:p>
    <w:p w14:paraId="0B8DA146"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5370AEBB" w14:textId="1B0C2C40" w:rsidR="00466CB1" w:rsidRPr="00466CB1" w:rsidRDefault="00466CB1" w:rsidP="00877580">
      <w:pPr>
        <w:pStyle w:val="Prrafodelista"/>
        <w:numPr>
          <w:ilvl w:val="0"/>
          <w:numId w:val="22"/>
        </w:numPr>
        <w:spacing w:after="0" w:line="276" w:lineRule="auto"/>
        <w:ind w:left="426" w:hanging="426"/>
        <w:jc w:val="both"/>
        <w:rPr>
          <w:rFonts w:ascii="Times New Roman" w:hAnsi="Times New Roman" w:cs="Times New Roman"/>
          <w:sz w:val="24"/>
          <w:szCs w:val="24"/>
          <w:lang w:val="en-US"/>
        </w:rPr>
      </w:pPr>
      <w:r w:rsidRPr="00F124AA">
        <w:rPr>
          <w:rFonts w:ascii="Times New Roman" w:hAnsi="Times New Roman" w:cs="Times New Roman"/>
          <w:b/>
          <w:bCs/>
          <w:sz w:val="24"/>
          <w:szCs w:val="24"/>
          <w:lang w:val="en-US"/>
        </w:rPr>
        <w:t xml:space="preserve">Opening </w:t>
      </w:r>
      <w:r w:rsidR="00F124AA">
        <w:rPr>
          <w:rFonts w:ascii="Times New Roman" w:hAnsi="Times New Roman" w:cs="Times New Roman"/>
          <w:b/>
          <w:bCs/>
          <w:sz w:val="24"/>
          <w:szCs w:val="24"/>
          <w:lang w:val="en-US"/>
        </w:rPr>
        <w:t>non-face-to-face accounts</w:t>
      </w:r>
    </w:p>
    <w:p w14:paraId="24EC0D88"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7125600F" w14:textId="77777777" w:rsidR="00F124AA"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F124AA">
        <w:rPr>
          <w:rFonts w:ascii="Times New Roman" w:hAnsi="Times New Roman" w:cs="Times New Roman"/>
          <w:sz w:val="24"/>
          <w:szCs w:val="24"/>
          <w:lang w:val="en-US"/>
        </w:rPr>
        <w:t>The Draft modifies the regime so that only non-face-to-face operations can be carried out with individuals and legal entities of Mexican nationality.</w:t>
      </w:r>
    </w:p>
    <w:p w14:paraId="3F50D1DD" w14:textId="77777777" w:rsidR="00F124AA" w:rsidRDefault="00F124AA" w:rsidP="00877580">
      <w:pPr>
        <w:pStyle w:val="Prrafodelista"/>
        <w:spacing w:after="0" w:line="276" w:lineRule="auto"/>
        <w:ind w:left="426"/>
        <w:jc w:val="both"/>
        <w:rPr>
          <w:rFonts w:ascii="Times New Roman" w:hAnsi="Times New Roman" w:cs="Times New Roman"/>
          <w:sz w:val="24"/>
          <w:szCs w:val="24"/>
          <w:lang w:val="en-US"/>
        </w:rPr>
      </w:pPr>
    </w:p>
    <w:p w14:paraId="70033E38" w14:textId="77777777" w:rsidR="00F124AA"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u w:val="single"/>
          <w:lang w:val="en-US"/>
        </w:rPr>
        <w:t>Provisions on technology</w:t>
      </w:r>
      <w:r w:rsidRPr="00F124AA">
        <w:rPr>
          <w:rFonts w:ascii="Times New Roman" w:hAnsi="Times New Roman" w:cs="Times New Roman"/>
          <w:sz w:val="24"/>
          <w:szCs w:val="24"/>
          <w:lang w:val="en-US"/>
        </w:rPr>
        <w:t>: The obligation for the CNBV to issue general provisions regulating technological mechanisms for the opening of accounts and conclusion of non-face-to-face contracts continues.</w:t>
      </w:r>
    </w:p>
    <w:p w14:paraId="4776D9C3" w14:textId="77777777" w:rsidR="00F124AA" w:rsidRPr="00F124AA" w:rsidRDefault="00F124AA" w:rsidP="00877580">
      <w:pPr>
        <w:pStyle w:val="Prrafodelista"/>
        <w:spacing w:after="0"/>
        <w:rPr>
          <w:rFonts w:ascii="Times New Roman" w:hAnsi="Times New Roman" w:cs="Times New Roman"/>
          <w:sz w:val="24"/>
          <w:szCs w:val="24"/>
          <w:lang w:val="en-US"/>
        </w:rPr>
      </w:pPr>
    </w:p>
    <w:p w14:paraId="2D1DC918" w14:textId="77777777" w:rsidR="00F124AA"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u w:val="single"/>
          <w:lang w:val="en-US"/>
        </w:rPr>
        <w:t>Validations by account levels</w:t>
      </w:r>
      <w:r w:rsidRPr="00F124AA">
        <w:rPr>
          <w:rFonts w:ascii="Times New Roman" w:hAnsi="Times New Roman" w:cs="Times New Roman"/>
          <w:sz w:val="24"/>
          <w:szCs w:val="24"/>
          <w:lang w:val="en-US"/>
        </w:rPr>
        <w:t>: The current Provisions establish the possibility, for Level 1 and 2 accounts, to replace the interview for opening an account with the capture and validation of certain data through a query in the National Population Registry (CURP, name, date, and place of birth). The Draft adds the requirement to validate the mobile phone through a mechanism other than the one provided.</w:t>
      </w:r>
    </w:p>
    <w:p w14:paraId="27F19E5B" w14:textId="77777777" w:rsidR="00F124AA" w:rsidRDefault="00466CB1" w:rsidP="00877580">
      <w:pPr>
        <w:pStyle w:val="Prrafodelista"/>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u w:val="single"/>
          <w:lang w:val="en-US"/>
        </w:rPr>
        <w:t>For Level 3 accounts</w:t>
      </w:r>
      <w:r w:rsidRPr="00F124AA">
        <w:rPr>
          <w:rFonts w:ascii="Times New Roman" w:hAnsi="Times New Roman" w:cs="Times New Roman"/>
          <w:sz w:val="24"/>
          <w:szCs w:val="24"/>
          <w:lang w:val="en-US"/>
        </w:rPr>
        <w:t>, in addition to the above, Institutions must validate the voter ID or passport directly with the INE/SRE or with a Mexican authority that provides digital verification services.</w:t>
      </w:r>
    </w:p>
    <w:p w14:paraId="7B54CAEB" w14:textId="77777777" w:rsidR="00F124AA" w:rsidRPr="00F124AA" w:rsidRDefault="00F124AA" w:rsidP="00877580">
      <w:pPr>
        <w:pStyle w:val="Prrafodelista"/>
        <w:spacing w:after="0"/>
        <w:rPr>
          <w:rFonts w:ascii="Times New Roman" w:hAnsi="Times New Roman" w:cs="Times New Roman"/>
          <w:sz w:val="24"/>
          <w:szCs w:val="24"/>
          <w:lang w:val="en-US"/>
        </w:rPr>
      </w:pPr>
    </w:p>
    <w:p w14:paraId="0BD30801" w14:textId="438F3E25" w:rsidR="00F124AA" w:rsidRPr="0073648A" w:rsidRDefault="00466CB1" w:rsidP="0073648A">
      <w:pPr>
        <w:pStyle w:val="Prrafodelista"/>
        <w:spacing w:after="0" w:line="276" w:lineRule="auto"/>
        <w:ind w:left="426"/>
        <w:jc w:val="both"/>
        <w:rPr>
          <w:rFonts w:ascii="Times New Roman" w:hAnsi="Times New Roman" w:cs="Times New Roman"/>
          <w:sz w:val="24"/>
          <w:szCs w:val="24"/>
          <w:lang w:val="en-US"/>
        </w:rPr>
      </w:pPr>
      <w:r w:rsidRPr="00F124AA">
        <w:rPr>
          <w:rFonts w:ascii="Times New Roman" w:hAnsi="Times New Roman" w:cs="Times New Roman"/>
          <w:sz w:val="24"/>
          <w:szCs w:val="24"/>
          <w:lang w:val="en-US"/>
        </w:rPr>
        <w:t>For accounts whose operation is limited to deposits of up to 30,000 UDIS</w:t>
      </w:r>
      <w:r w:rsidR="008C3CBC">
        <w:rPr>
          <w:rFonts w:ascii="Times New Roman" w:hAnsi="Times New Roman" w:cs="Times New Roman"/>
          <w:sz w:val="24"/>
          <w:szCs w:val="24"/>
          <w:lang w:val="en-US"/>
        </w:rPr>
        <w:t>,</w:t>
      </w:r>
      <w:r w:rsidRPr="00F124AA">
        <w:rPr>
          <w:rFonts w:ascii="Times New Roman" w:hAnsi="Times New Roman" w:cs="Times New Roman"/>
          <w:sz w:val="24"/>
          <w:szCs w:val="24"/>
          <w:lang w:val="en-US"/>
        </w:rPr>
        <w:t xml:space="preserve"> individual entrepreneurs and legal entities must consent with their Advanced Electronic Signature, and Institutions must validate (before or after contracting, but always before starting operations) that they carry out business activities and/or that the representative has powers.</w:t>
      </w:r>
    </w:p>
    <w:p w14:paraId="3192249B" w14:textId="77777777" w:rsidR="00F124AA"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F124AA">
        <w:rPr>
          <w:rFonts w:ascii="Times New Roman" w:hAnsi="Times New Roman" w:cs="Times New Roman"/>
          <w:sz w:val="24"/>
          <w:szCs w:val="24"/>
          <w:lang w:val="en-US"/>
        </w:rPr>
        <w:lastRenderedPageBreak/>
        <w:t>Institutions must retain all digital documents in accordance with NOM-151-SCFI, which is the official Mexican standard on the digitalization and preservation of data messages.</w:t>
      </w:r>
    </w:p>
    <w:p w14:paraId="4E931304" w14:textId="77777777" w:rsidR="00F124AA" w:rsidRPr="00F124AA" w:rsidRDefault="00F124AA" w:rsidP="00877580">
      <w:pPr>
        <w:pStyle w:val="Prrafodelista"/>
        <w:spacing w:after="0"/>
        <w:rPr>
          <w:rFonts w:ascii="Times New Roman" w:hAnsi="Times New Roman" w:cs="Times New Roman"/>
          <w:sz w:val="24"/>
          <w:szCs w:val="24"/>
          <w:lang w:val="en-US"/>
        </w:rPr>
      </w:pPr>
    </w:p>
    <w:p w14:paraId="57A2C246" w14:textId="6572CEF9" w:rsidR="00466CB1" w:rsidRPr="00F124AA"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F124AA">
        <w:rPr>
          <w:rFonts w:ascii="Times New Roman" w:hAnsi="Times New Roman" w:cs="Times New Roman"/>
          <w:sz w:val="24"/>
          <w:szCs w:val="24"/>
          <w:lang w:val="en-US"/>
        </w:rPr>
        <w:t xml:space="preserve">It is standardized </w:t>
      </w:r>
      <w:r w:rsidR="008C3CBC">
        <w:rPr>
          <w:rFonts w:ascii="Times New Roman" w:hAnsi="Times New Roman" w:cs="Times New Roman"/>
          <w:sz w:val="24"/>
          <w:szCs w:val="24"/>
          <w:lang w:val="en-US"/>
        </w:rPr>
        <w:t>throughout</w:t>
      </w:r>
      <w:r w:rsidRPr="00F124AA">
        <w:rPr>
          <w:rFonts w:ascii="Times New Roman" w:hAnsi="Times New Roman" w:cs="Times New Roman"/>
          <w:sz w:val="24"/>
          <w:szCs w:val="24"/>
          <w:lang w:val="en-US"/>
        </w:rPr>
        <w:t xml:space="preserve"> the Provisions that consent can be obtained with an electronic signature or advanced electronic signature.</w:t>
      </w:r>
    </w:p>
    <w:p w14:paraId="05D75227" w14:textId="77777777" w:rsidR="00003ADB" w:rsidRDefault="00003ADB" w:rsidP="00877580">
      <w:pPr>
        <w:spacing w:after="0" w:line="276" w:lineRule="auto"/>
        <w:jc w:val="both"/>
        <w:rPr>
          <w:rFonts w:ascii="Times New Roman" w:hAnsi="Times New Roman" w:cs="Times New Roman"/>
          <w:b/>
          <w:bCs/>
          <w:sz w:val="24"/>
          <w:szCs w:val="24"/>
          <w:lang w:val="en-US"/>
        </w:rPr>
      </w:pPr>
    </w:p>
    <w:p w14:paraId="238AE72F" w14:textId="5113B122" w:rsidR="00466CB1" w:rsidRPr="00003ADB" w:rsidRDefault="0073648A" w:rsidP="00877580">
      <w:pPr>
        <w:pStyle w:val="Prrafodelista"/>
        <w:numPr>
          <w:ilvl w:val="0"/>
          <w:numId w:val="22"/>
        </w:numPr>
        <w:spacing w:after="0" w:line="276"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Holding</w:t>
      </w:r>
      <w:r w:rsidR="00466CB1" w:rsidRPr="00003ADB">
        <w:rPr>
          <w:rFonts w:ascii="Times New Roman" w:hAnsi="Times New Roman" w:cs="Times New Roman"/>
          <w:b/>
          <w:bCs/>
          <w:sz w:val="24"/>
          <w:szCs w:val="24"/>
          <w:lang w:val="en-US"/>
        </w:rPr>
        <w:t xml:space="preserve"> accounts and Institution's own accounts</w:t>
      </w:r>
    </w:p>
    <w:p w14:paraId="22D3B5B1"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2D26C8EE" w14:textId="51D88D28" w:rsidR="00003ADB" w:rsidRDefault="0073648A"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Pr>
          <w:rFonts w:ascii="Times New Roman" w:hAnsi="Times New Roman" w:cs="Times New Roman"/>
          <w:sz w:val="24"/>
          <w:szCs w:val="24"/>
          <w:u w:val="single"/>
          <w:lang w:val="en-US"/>
        </w:rPr>
        <w:t>Holding</w:t>
      </w:r>
      <w:r w:rsidR="00466CB1" w:rsidRPr="00003ADB">
        <w:rPr>
          <w:rFonts w:ascii="Times New Roman" w:hAnsi="Times New Roman" w:cs="Times New Roman"/>
          <w:sz w:val="24"/>
          <w:szCs w:val="24"/>
          <w:u w:val="single"/>
          <w:lang w:val="en-US"/>
        </w:rPr>
        <w:t xml:space="preserve"> accounts</w:t>
      </w:r>
      <w:r w:rsidR="00466CB1" w:rsidRPr="00003ADB">
        <w:rPr>
          <w:rFonts w:ascii="Times New Roman" w:hAnsi="Times New Roman" w:cs="Times New Roman"/>
          <w:sz w:val="24"/>
          <w:szCs w:val="24"/>
          <w:lang w:val="en-US"/>
        </w:rPr>
        <w:t xml:space="preserve">: The Draft adds a new report to be submitted to the Ministry of Finance and Public Credit: all international transfers related to the </w:t>
      </w:r>
      <w:r>
        <w:rPr>
          <w:rFonts w:ascii="Times New Roman" w:hAnsi="Times New Roman" w:cs="Times New Roman"/>
          <w:sz w:val="24"/>
          <w:szCs w:val="24"/>
          <w:lang w:val="en-US"/>
        </w:rPr>
        <w:t>holding</w:t>
      </w:r>
      <w:r w:rsidR="00466CB1" w:rsidRPr="00003ADB">
        <w:rPr>
          <w:rFonts w:ascii="Times New Roman" w:hAnsi="Times New Roman" w:cs="Times New Roman"/>
          <w:sz w:val="24"/>
          <w:szCs w:val="24"/>
          <w:lang w:val="en-US"/>
        </w:rPr>
        <w:t xml:space="preserve"> accounts of which the Institutions are holders and in which their clients, executives, officials, employees, or attorneys participate.</w:t>
      </w:r>
    </w:p>
    <w:p w14:paraId="7AF2C895" w14:textId="77777777" w:rsidR="00003ADB" w:rsidRPr="00003ADB" w:rsidRDefault="00003ADB" w:rsidP="00877580">
      <w:pPr>
        <w:pStyle w:val="Prrafodelista"/>
        <w:spacing w:after="0" w:line="276" w:lineRule="auto"/>
        <w:ind w:left="426"/>
        <w:jc w:val="both"/>
        <w:rPr>
          <w:rFonts w:ascii="Times New Roman" w:hAnsi="Times New Roman" w:cs="Times New Roman"/>
          <w:sz w:val="24"/>
          <w:szCs w:val="24"/>
          <w:lang w:val="en-US"/>
        </w:rPr>
      </w:pPr>
    </w:p>
    <w:p w14:paraId="52477434" w14:textId="43F7227C" w:rsidR="00466CB1" w:rsidRPr="00003ADB"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u w:val="single"/>
          <w:lang w:val="en-US"/>
        </w:rPr>
        <w:t>Internal accounts</w:t>
      </w:r>
      <w:r w:rsidRPr="00003ADB">
        <w:rPr>
          <w:rFonts w:ascii="Times New Roman" w:hAnsi="Times New Roman" w:cs="Times New Roman"/>
          <w:sz w:val="24"/>
          <w:szCs w:val="24"/>
          <w:lang w:val="en-US"/>
        </w:rPr>
        <w:t>: A new article is added obliging Institutions to develop policies, processes, and procedures in their compliance manual to ensure that the accounts opened internally in the Institutions for administrative purposes are not operated by clients, or operations are carried out instructed by their clients without registration of such instruction.</w:t>
      </w:r>
    </w:p>
    <w:p w14:paraId="6A9885FE" w14:textId="77777777" w:rsidR="008C3CBC" w:rsidRPr="00466CB1" w:rsidRDefault="008C3CBC" w:rsidP="00877580">
      <w:pPr>
        <w:spacing w:after="0" w:line="276" w:lineRule="auto"/>
        <w:jc w:val="both"/>
        <w:rPr>
          <w:rFonts w:ascii="Times New Roman" w:hAnsi="Times New Roman" w:cs="Times New Roman"/>
          <w:sz w:val="24"/>
          <w:szCs w:val="24"/>
          <w:lang w:val="en-US"/>
        </w:rPr>
      </w:pPr>
    </w:p>
    <w:p w14:paraId="67658F1F" w14:textId="0198E746" w:rsidR="00466CB1" w:rsidRPr="00466CB1" w:rsidRDefault="00466CB1" w:rsidP="00877580">
      <w:pPr>
        <w:pStyle w:val="Prrafodelista"/>
        <w:numPr>
          <w:ilvl w:val="0"/>
          <w:numId w:val="22"/>
        </w:numPr>
        <w:spacing w:after="0" w:line="276" w:lineRule="auto"/>
        <w:ind w:left="426" w:hanging="426"/>
        <w:jc w:val="both"/>
        <w:rPr>
          <w:rFonts w:ascii="Times New Roman" w:hAnsi="Times New Roman" w:cs="Times New Roman"/>
          <w:sz w:val="24"/>
          <w:szCs w:val="24"/>
          <w:lang w:val="en-US"/>
        </w:rPr>
      </w:pPr>
      <w:r w:rsidRPr="00003ADB">
        <w:rPr>
          <w:rFonts w:ascii="Times New Roman" w:hAnsi="Times New Roman" w:cs="Times New Roman"/>
          <w:b/>
          <w:bCs/>
          <w:sz w:val="24"/>
          <w:szCs w:val="24"/>
          <w:lang w:val="en-US"/>
        </w:rPr>
        <w:t>Internal structures</w:t>
      </w:r>
    </w:p>
    <w:p w14:paraId="3E3093D2"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68A3A6EB" w14:textId="13C9FEF8" w:rsidR="00466CB1" w:rsidRPr="00003ADB"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u w:val="single"/>
          <w:lang w:val="en-US"/>
        </w:rPr>
        <w:t>Deadline for designation or revocation</w:t>
      </w:r>
      <w:r w:rsidRPr="00003ADB">
        <w:rPr>
          <w:rFonts w:ascii="Times New Roman" w:hAnsi="Times New Roman" w:cs="Times New Roman"/>
          <w:sz w:val="24"/>
          <w:szCs w:val="24"/>
          <w:lang w:val="en-US"/>
        </w:rPr>
        <w:t>: The deadline to notify the CNBV about the designation and revocation of the compliance officer is modified from one business day and three respectively, to ten business days following the date of designation or revocation.</w:t>
      </w:r>
    </w:p>
    <w:p w14:paraId="69477816"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75D6C15A" w14:textId="45A5AC15" w:rsidR="00466CB1" w:rsidRPr="00003ADB"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u w:val="single"/>
          <w:lang w:val="en-US"/>
        </w:rPr>
        <w:t>Annual ML/TF audit</w:t>
      </w:r>
      <w:r w:rsidRPr="00003ADB">
        <w:rPr>
          <w:rFonts w:ascii="Times New Roman" w:hAnsi="Times New Roman" w:cs="Times New Roman"/>
          <w:sz w:val="24"/>
          <w:szCs w:val="24"/>
          <w:lang w:val="en-US"/>
        </w:rPr>
        <w:t>: The auditor performing the annual internal or external audit in ML/TF must be certified by the CNBV.</w:t>
      </w:r>
    </w:p>
    <w:p w14:paraId="4AC47FF9"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6F6E4B0C" w14:textId="3AEF9259" w:rsidR="00466CB1" w:rsidRPr="00003ADB"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u w:val="single"/>
          <w:lang w:val="en-US"/>
        </w:rPr>
        <w:t>Mandatory certification</w:t>
      </w:r>
      <w:r w:rsidRPr="00003ADB">
        <w:rPr>
          <w:rFonts w:ascii="Times New Roman" w:hAnsi="Times New Roman" w:cs="Times New Roman"/>
          <w:sz w:val="24"/>
          <w:szCs w:val="24"/>
          <w:lang w:val="en-US"/>
        </w:rPr>
        <w:t>: Compliance officers will be required to be certified in ML/TF.</w:t>
      </w:r>
    </w:p>
    <w:p w14:paraId="7541F228" w14:textId="77777777" w:rsidR="00466CB1" w:rsidRDefault="00466CB1" w:rsidP="00877580">
      <w:pPr>
        <w:spacing w:after="0" w:line="276" w:lineRule="auto"/>
        <w:jc w:val="both"/>
        <w:rPr>
          <w:rFonts w:ascii="Times New Roman" w:hAnsi="Times New Roman" w:cs="Times New Roman"/>
          <w:sz w:val="24"/>
          <w:szCs w:val="24"/>
          <w:lang w:val="en-US"/>
        </w:rPr>
      </w:pPr>
    </w:p>
    <w:p w14:paraId="3975212A" w14:textId="77777777" w:rsidR="0073648A" w:rsidRPr="00466CB1" w:rsidRDefault="0073648A" w:rsidP="00877580">
      <w:pPr>
        <w:spacing w:after="0" w:line="276" w:lineRule="auto"/>
        <w:jc w:val="both"/>
        <w:rPr>
          <w:rFonts w:ascii="Times New Roman" w:hAnsi="Times New Roman" w:cs="Times New Roman"/>
          <w:sz w:val="24"/>
          <w:szCs w:val="24"/>
          <w:lang w:val="en-US"/>
        </w:rPr>
      </w:pPr>
    </w:p>
    <w:p w14:paraId="7DF3F0D3" w14:textId="4D35C24D" w:rsidR="00466CB1" w:rsidRPr="00003ADB" w:rsidRDefault="00466CB1" w:rsidP="00877580">
      <w:pPr>
        <w:pStyle w:val="Prrafodelista"/>
        <w:numPr>
          <w:ilvl w:val="0"/>
          <w:numId w:val="22"/>
        </w:numPr>
        <w:spacing w:after="0" w:line="276" w:lineRule="auto"/>
        <w:ind w:left="426" w:hanging="426"/>
        <w:jc w:val="both"/>
        <w:rPr>
          <w:rFonts w:ascii="Times New Roman" w:hAnsi="Times New Roman" w:cs="Times New Roman"/>
          <w:b/>
          <w:bCs/>
          <w:sz w:val="24"/>
          <w:szCs w:val="24"/>
          <w:lang w:val="en-US"/>
        </w:rPr>
      </w:pPr>
      <w:r w:rsidRPr="00003ADB">
        <w:rPr>
          <w:rFonts w:ascii="Times New Roman" w:hAnsi="Times New Roman" w:cs="Times New Roman"/>
          <w:b/>
          <w:bCs/>
          <w:sz w:val="24"/>
          <w:szCs w:val="24"/>
          <w:lang w:val="en-US"/>
        </w:rPr>
        <w:lastRenderedPageBreak/>
        <w:t>Terrorism financing: new obligations</w:t>
      </w:r>
    </w:p>
    <w:p w14:paraId="126AB814"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2324A09F" w14:textId="3C4AC79C" w:rsid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003ADB">
        <w:rPr>
          <w:rFonts w:ascii="Times New Roman" w:hAnsi="Times New Roman" w:cs="Times New Roman"/>
          <w:sz w:val="24"/>
          <w:szCs w:val="24"/>
          <w:lang w:val="en-US"/>
        </w:rPr>
        <w:t>As part of the design and development of the risk-based methodology, there is an explicit obligation to establish specific indicators for both money laundering and terrorism financing crimes.</w:t>
      </w:r>
    </w:p>
    <w:p w14:paraId="77539735" w14:textId="77777777" w:rsidR="00003ADB" w:rsidRPr="00003ADB" w:rsidRDefault="00003ADB" w:rsidP="00877580">
      <w:pPr>
        <w:pStyle w:val="Prrafodelista"/>
        <w:spacing w:after="0" w:line="276" w:lineRule="auto"/>
        <w:ind w:left="426"/>
        <w:jc w:val="both"/>
        <w:rPr>
          <w:rFonts w:ascii="Times New Roman" w:hAnsi="Times New Roman" w:cs="Times New Roman"/>
          <w:sz w:val="24"/>
          <w:szCs w:val="24"/>
          <w:lang w:val="en-US"/>
        </w:rPr>
      </w:pPr>
    </w:p>
    <w:p w14:paraId="4F32C6EE" w14:textId="61AEB560" w:rsidR="00466CB1" w:rsidRPr="00003ADB" w:rsidRDefault="00466CB1" w:rsidP="00877580">
      <w:pPr>
        <w:pStyle w:val="Prrafodelista"/>
        <w:numPr>
          <w:ilvl w:val="0"/>
          <w:numId w:val="22"/>
        </w:numPr>
        <w:spacing w:after="0" w:line="276" w:lineRule="auto"/>
        <w:ind w:left="426" w:hanging="426"/>
        <w:jc w:val="both"/>
        <w:rPr>
          <w:rFonts w:ascii="Times New Roman" w:hAnsi="Times New Roman" w:cs="Times New Roman"/>
          <w:b/>
          <w:bCs/>
          <w:sz w:val="24"/>
          <w:szCs w:val="24"/>
          <w:lang w:val="en-US"/>
        </w:rPr>
      </w:pPr>
      <w:r w:rsidRPr="00003ADB">
        <w:rPr>
          <w:rFonts w:ascii="Times New Roman" w:hAnsi="Times New Roman" w:cs="Times New Roman"/>
          <w:b/>
          <w:bCs/>
          <w:sz w:val="24"/>
          <w:szCs w:val="24"/>
          <w:lang w:val="en-US"/>
        </w:rPr>
        <w:t>File review</w:t>
      </w:r>
    </w:p>
    <w:p w14:paraId="6A068A20"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17EDDC86" w14:textId="7790EFB4"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Institutions are obliged to subject the identification files to a review process by an official other than the one who </w:t>
      </w:r>
      <w:r w:rsidR="00C25CC8">
        <w:rPr>
          <w:rFonts w:ascii="Times New Roman" w:hAnsi="Times New Roman" w:cs="Times New Roman"/>
          <w:sz w:val="24"/>
          <w:szCs w:val="24"/>
          <w:lang w:val="en-US"/>
        </w:rPr>
        <w:t>elaborated</w:t>
      </w:r>
      <w:r w:rsidRPr="00466CB1">
        <w:rPr>
          <w:rFonts w:ascii="Times New Roman" w:hAnsi="Times New Roman" w:cs="Times New Roman"/>
          <w:sz w:val="24"/>
          <w:szCs w:val="24"/>
          <w:lang w:val="en-US"/>
        </w:rPr>
        <w:t xml:space="preserve"> or updated them. Likewise, Institutions must evaluate their automated systems every two years, and it must be done by an area different from the one that developed them.</w:t>
      </w:r>
    </w:p>
    <w:p w14:paraId="1B31AD90"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5BDC3F95" w14:textId="12337C3E" w:rsidR="00466CB1" w:rsidRPr="00C25CC8" w:rsidRDefault="00466CB1" w:rsidP="00C25CC8">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These procedures must be established in the </w:t>
      </w:r>
      <w:r w:rsidRPr="00C25CC8">
        <w:rPr>
          <w:rFonts w:ascii="Times New Roman" w:hAnsi="Times New Roman" w:cs="Times New Roman"/>
          <w:sz w:val="24"/>
          <w:szCs w:val="24"/>
          <w:lang w:val="en-US"/>
        </w:rPr>
        <w:t>compliance manuals.</w:t>
      </w:r>
    </w:p>
    <w:p w14:paraId="2B8021E7"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6DA16E89" w14:textId="55CC69E9" w:rsidR="00466CB1" w:rsidRPr="00003ADB" w:rsidRDefault="00466CB1" w:rsidP="00877580">
      <w:pPr>
        <w:pStyle w:val="Prrafodelista"/>
        <w:numPr>
          <w:ilvl w:val="0"/>
          <w:numId w:val="22"/>
        </w:numPr>
        <w:spacing w:after="0" w:line="276" w:lineRule="auto"/>
        <w:ind w:left="426" w:hanging="426"/>
        <w:jc w:val="both"/>
        <w:rPr>
          <w:rFonts w:ascii="Times New Roman" w:hAnsi="Times New Roman" w:cs="Times New Roman"/>
          <w:b/>
          <w:bCs/>
          <w:sz w:val="24"/>
          <w:szCs w:val="24"/>
          <w:lang w:val="en-US"/>
        </w:rPr>
      </w:pPr>
      <w:r w:rsidRPr="00003ADB">
        <w:rPr>
          <w:rFonts w:ascii="Times New Roman" w:hAnsi="Times New Roman" w:cs="Times New Roman"/>
          <w:b/>
          <w:bCs/>
          <w:sz w:val="24"/>
          <w:szCs w:val="24"/>
          <w:lang w:val="en-US"/>
        </w:rPr>
        <w:t>Automated systems</w:t>
      </w:r>
    </w:p>
    <w:p w14:paraId="651A72E1"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42B61E58" w14:textId="5D2A35A4"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Two new functions are added </w:t>
      </w:r>
      <w:r w:rsidR="009F4048">
        <w:rPr>
          <w:rFonts w:ascii="Times New Roman" w:hAnsi="Times New Roman" w:cs="Times New Roman"/>
          <w:sz w:val="24"/>
          <w:szCs w:val="24"/>
          <w:lang w:val="en-US"/>
        </w:rPr>
        <w:t xml:space="preserve">to the </w:t>
      </w:r>
      <w:r w:rsidRPr="00466CB1">
        <w:rPr>
          <w:rFonts w:ascii="Times New Roman" w:hAnsi="Times New Roman" w:cs="Times New Roman"/>
          <w:sz w:val="24"/>
          <w:szCs w:val="24"/>
          <w:lang w:val="en-US"/>
        </w:rPr>
        <w:t>automated systems: (</w:t>
      </w:r>
      <w:proofErr w:type="spellStart"/>
      <w:r w:rsidRPr="00466CB1">
        <w:rPr>
          <w:rFonts w:ascii="Times New Roman" w:hAnsi="Times New Roman" w:cs="Times New Roman"/>
          <w:sz w:val="24"/>
          <w:szCs w:val="24"/>
          <w:lang w:val="en-US"/>
        </w:rPr>
        <w:t>i</w:t>
      </w:r>
      <w:proofErr w:type="spellEnd"/>
      <w:r w:rsidRPr="00466CB1">
        <w:rPr>
          <w:rFonts w:ascii="Times New Roman" w:hAnsi="Times New Roman" w:cs="Times New Roman"/>
          <w:sz w:val="24"/>
          <w:szCs w:val="24"/>
          <w:lang w:val="en-US"/>
        </w:rPr>
        <w:t>) the execution of the risk assessment model and (ii) client classification.</w:t>
      </w:r>
    </w:p>
    <w:p w14:paraId="79C4B6AC" w14:textId="77777777" w:rsidR="00003ADB" w:rsidRDefault="00003ADB" w:rsidP="00877580">
      <w:pPr>
        <w:pStyle w:val="Prrafodelista"/>
        <w:spacing w:after="0" w:line="276" w:lineRule="auto"/>
        <w:ind w:left="426"/>
        <w:jc w:val="both"/>
        <w:rPr>
          <w:rFonts w:ascii="Times New Roman" w:hAnsi="Times New Roman" w:cs="Times New Roman"/>
          <w:sz w:val="24"/>
          <w:szCs w:val="24"/>
          <w:lang w:val="en-US"/>
        </w:rPr>
      </w:pPr>
    </w:p>
    <w:p w14:paraId="5FB6F26E" w14:textId="6EEF9F71" w:rsidR="00466CB1" w:rsidRPr="00003ADB" w:rsidRDefault="00466CB1" w:rsidP="00877580">
      <w:pPr>
        <w:pStyle w:val="Prrafodelista"/>
        <w:numPr>
          <w:ilvl w:val="0"/>
          <w:numId w:val="22"/>
        </w:numPr>
        <w:spacing w:after="0" w:line="276" w:lineRule="auto"/>
        <w:ind w:left="426" w:hanging="426"/>
        <w:jc w:val="both"/>
        <w:rPr>
          <w:rFonts w:ascii="Times New Roman" w:hAnsi="Times New Roman" w:cs="Times New Roman"/>
          <w:b/>
          <w:bCs/>
          <w:sz w:val="24"/>
          <w:szCs w:val="24"/>
          <w:lang w:val="en-US"/>
        </w:rPr>
      </w:pPr>
      <w:r w:rsidRPr="00003ADB">
        <w:rPr>
          <w:rFonts w:ascii="Times New Roman" w:hAnsi="Times New Roman" w:cs="Times New Roman"/>
          <w:b/>
          <w:bCs/>
          <w:sz w:val="24"/>
          <w:szCs w:val="24"/>
          <w:lang w:val="en-US"/>
        </w:rPr>
        <w:t>Risk-based approach</w:t>
      </w:r>
    </w:p>
    <w:p w14:paraId="087F4559"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15942394" w14:textId="1DEABA2E" w:rsidR="00466CB1" w:rsidRPr="00C25CC8" w:rsidRDefault="00466CB1" w:rsidP="00C25CC8">
      <w:pPr>
        <w:spacing w:after="0" w:line="276" w:lineRule="auto"/>
        <w:jc w:val="both"/>
        <w:rPr>
          <w:rFonts w:ascii="Times New Roman" w:hAnsi="Times New Roman" w:cs="Times New Roman"/>
          <w:sz w:val="24"/>
          <w:szCs w:val="24"/>
          <w:lang w:val="en-US"/>
        </w:rPr>
      </w:pPr>
      <w:r w:rsidRPr="00C25CC8">
        <w:rPr>
          <w:rFonts w:ascii="Times New Roman" w:hAnsi="Times New Roman" w:cs="Times New Roman"/>
          <w:sz w:val="24"/>
          <w:szCs w:val="24"/>
          <w:lang w:val="en-US"/>
        </w:rPr>
        <w:t>The Draft establishes various changes that allow for stricter risk-based supervision, both of Institutions regarding their clients and the CNBV. Among others, the following stand out:</w:t>
      </w:r>
    </w:p>
    <w:p w14:paraId="6F2599BD"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1087D19D" w14:textId="77777777"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877580">
        <w:rPr>
          <w:rFonts w:ascii="Times New Roman" w:hAnsi="Times New Roman" w:cs="Times New Roman"/>
          <w:sz w:val="24"/>
          <w:szCs w:val="24"/>
          <w:u w:val="single"/>
          <w:lang w:val="en-US"/>
        </w:rPr>
        <w:t>Operational Report</w:t>
      </w:r>
      <w:r w:rsidRPr="00466CB1">
        <w:rPr>
          <w:rFonts w:ascii="Times New Roman" w:hAnsi="Times New Roman" w:cs="Times New Roman"/>
          <w:sz w:val="24"/>
          <w:szCs w:val="24"/>
          <w:lang w:val="en-US"/>
        </w:rPr>
        <w:t>: Institutions must submit to the CNBV within the last ten business days of April each year a report containing quantitative information about their operations, channels, types of clients, types of products and services, as well as the geographical areas where they operate. The format is still pending issuance by the CNBV.</w:t>
      </w:r>
    </w:p>
    <w:p w14:paraId="45812184"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05EFA89D" w14:textId="77777777"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877580">
        <w:rPr>
          <w:rFonts w:ascii="Times New Roman" w:hAnsi="Times New Roman" w:cs="Times New Roman"/>
          <w:sz w:val="24"/>
          <w:szCs w:val="24"/>
          <w:u w:val="single"/>
          <w:lang w:val="en-US"/>
        </w:rPr>
        <w:lastRenderedPageBreak/>
        <w:t>Differentiated transactional monitoring</w:t>
      </w:r>
      <w:r w:rsidRPr="00466CB1">
        <w:rPr>
          <w:rFonts w:ascii="Times New Roman" w:hAnsi="Times New Roman" w:cs="Times New Roman"/>
          <w:sz w:val="24"/>
          <w:szCs w:val="24"/>
          <w:lang w:val="en-US"/>
        </w:rPr>
        <w:t>: Institutions must apply differentiated transactional monitoring criteria for individual clients, legal entities, or trusts.</w:t>
      </w:r>
    </w:p>
    <w:p w14:paraId="5624327A" w14:textId="77777777" w:rsidR="00466CB1" w:rsidRPr="00466CB1" w:rsidRDefault="00466CB1" w:rsidP="00877580">
      <w:pPr>
        <w:pStyle w:val="Prrafodelista"/>
        <w:spacing w:after="0" w:line="276" w:lineRule="auto"/>
        <w:ind w:left="426"/>
        <w:jc w:val="both"/>
        <w:rPr>
          <w:rFonts w:ascii="Times New Roman" w:hAnsi="Times New Roman" w:cs="Times New Roman"/>
          <w:sz w:val="24"/>
          <w:szCs w:val="24"/>
          <w:lang w:val="en-US"/>
        </w:rPr>
      </w:pPr>
    </w:p>
    <w:p w14:paraId="45B148F0" w14:textId="77777777"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877580">
        <w:rPr>
          <w:rFonts w:ascii="Times New Roman" w:hAnsi="Times New Roman" w:cs="Times New Roman"/>
          <w:sz w:val="24"/>
          <w:szCs w:val="24"/>
          <w:u w:val="single"/>
          <w:lang w:val="en-US"/>
        </w:rPr>
        <w:t>Interview</w:t>
      </w:r>
      <w:r w:rsidRPr="00466CB1">
        <w:rPr>
          <w:rFonts w:ascii="Times New Roman" w:hAnsi="Times New Roman" w:cs="Times New Roman"/>
          <w:sz w:val="24"/>
          <w:szCs w:val="24"/>
          <w:lang w:val="en-US"/>
        </w:rPr>
        <w:t>: If a client has more than one account in the same Institution or when the transactional level of any of their products exceeds the maximum amount to be considered low-risk, the Institution is obliged to conduct an in-person or remote interview (currently only obliged to integrate the file according to the corresponding risk level). They cannot continue any operation until the above is concluded.</w:t>
      </w:r>
    </w:p>
    <w:p w14:paraId="3D47F821" w14:textId="77777777" w:rsidR="00466CB1" w:rsidRPr="00466CB1" w:rsidRDefault="00466CB1" w:rsidP="00877580">
      <w:pPr>
        <w:pStyle w:val="Prrafodelista"/>
        <w:spacing w:after="0" w:line="276" w:lineRule="auto"/>
        <w:ind w:left="426"/>
        <w:jc w:val="both"/>
        <w:rPr>
          <w:rFonts w:ascii="Times New Roman" w:hAnsi="Times New Roman" w:cs="Times New Roman"/>
          <w:sz w:val="24"/>
          <w:szCs w:val="24"/>
          <w:lang w:val="en-US"/>
        </w:rPr>
      </w:pPr>
    </w:p>
    <w:p w14:paraId="0D06D4C5" w14:textId="2A86E463"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A paragraph is added stating that Institutions, to determine the transactional level of their clients, may not </w:t>
      </w:r>
      <w:r w:rsidR="00C25CC8" w:rsidRPr="00466CB1">
        <w:rPr>
          <w:rFonts w:ascii="Times New Roman" w:hAnsi="Times New Roman" w:cs="Times New Roman"/>
          <w:sz w:val="24"/>
          <w:szCs w:val="24"/>
          <w:lang w:val="en-US"/>
        </w:rPr>
        <w:t>consider</w:t>
      </w:r>
      <w:r w:rsidRPr="00466CB1">
        <w:rPr>
          <w:rFonts w:ascii="Times New Roman" w:hAnsi="Times New Roman" w:cs="Times New Roman"/>
          <w:sz w:val="24"/>
          <w:szCs w:val="24"/>
          <w:lang w:val="en-US"/>
        </w:rPr>
        <w:t xml:space="preserve"> generated interest, transfer returns, or any other bonus.</w:t>
      </w:r>
    </w:p>
    <w:p w14:paraId="5A1D47AE" w14:textId="77777777" w:rsidR="00466CB1" w:rsidRPr="00466CB1" w:rsidRDefault="00466CB1" w:rsidP="00877580">
      <w:pPr>
        <w:pStyle w:val="Prrafodelista"/>
        <w:spacing w:after="0" w:line="276" w:lineRule="auto"/>
        <w:ind w:left="426"/>
        <w:jc w:val="both"/>
        <w:rPr>
          <w:rFonts w:ascii="Times New Roman" w:hAnsi="Times New Roman" w:cs="Times New Roman"/>
          <w:sz w:val="24"/>
          <w:szCs w:val="24"/>
          <w:lang w:val="en-US"/>
        </w:rPr>
      </w:pPr>
    </w:p>
    <w:p w14:paraId="1A1E55FD" w14:textId="78AB2117" w:rsid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A paragraph is added establishing the obligation to include in the compliance manual the procedure for obtaining additional information from clients who represent a higher degree of risk, specifying the additional information to be collected from such clients compared to those representing a lower degree of risk, as well as how they will carry out stricter supervision of the transactional behavior of these clients, which must be done in a differentiated manner.</w:t>
      </w:r>
    </w:p>
    <w:p w14:paraId="13BF09C6" w14:textId="77777777" w:rsidR="0073648A" w:rsidRPr="0073648A" w:rsidRDefault="0073648A" w:rsidP="0073648A">
      <w:pPr>
        <w:spacing w:after="0" w:line="276" w:lineRule="auto"/>
        <w:jc w:val="both"/>
        <w:rPr>
          <w:rFonts w:ascii="Times New Roman" w:hAnsi="Times New Roman" w:cs="Times New Roman"/>
          <w:sz w:val="24"/>
          <w:szCs w:val="24"/>
          <w:lang w:val="en-US"/>
        </w:rPr>
      </w:pPr>
    </w:p>
    <w:p w14:paraId="18D5819C" w14:textId="4AFAF276" w:rsidR="00466CB1" w:rsidRPr="00877580" w:rsidRDefault="00466CB1" w:rsidP="00877580">
      <w:pPr>
        <w:pStyle w:val="Prrafodelista"/>
        <w:numPr>
          <w:ilvl w:val="0"/>
          <w:numId w:val="22"/>
        </w:numPr>
        <w:spacing w:after="0" w:line="276" w:lineRule="auto"/>
        <w:ind w:left="426" w:hanging="426"/>
        <w:jc w:val="both"/>
        <w:rPr>
          <w:rFonts w:ascii="Times New Roman" w:hAnsi="Times New Roman" w:cs="Times New Roman"/>
          <w:b/>
          <w:bCs/>
          <w:sz w:val="24"/>
          <w:szCs w:val="24"/>
          <w:lang w:val="en-US"/>
        </w:rPr>
      </w:pPr>
      <w:r w:rsidRPr="00003ADB">
        <w:rPr>
          <w:rFonts w:ascii="Times New Roman" w:hAnsi="Times New Roman" w:cs="Times New Roman"/>
          <w:b/>
          <w:bCs/>
          <w:sz w:val="24"/>
          <w:szCs w:val="24"/>
          <w:lang w:val="en-US"/>
        </w:rPr>
        <w:t>FATF</w:t>
      </w:r>
    </w:p>
    <w:p w14:paraId="51DA0813"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3474A8E7" w14:textId="51DA08B9" w:rsidR="00466CB1" w:rsidRPr="00C25CC8" w:rsidRDefault="00466CB1" w:rsidP="00C25CC8">
      <w:pPr>
        <w:spacing w:after="0" w:line="276" w:lineRule="auto"/>
        <w:jc w:val="both"/>
        <w:rPr>
          <w:rFonts w:ascii="Times New Roman" w:hAnsi="Times New Roman" w:cs="Times New Roman"/>
          <w:sz w:val="24"/>
          <w:szCs w:val="24"/>
          <w:lang w:val="en-US"/>
        </w:rPr>
      </w:pPr>
      <w:r w:rsidRPr="00C25CC8">
        <w:rPr>
          <w:rFonts w:ascii="Times New Roman" w:hAnsi="Times New Roman" w:cs="Times New Roman"/>
          <w:sz w:val="24"/>
          <w:szCs w:val="24"/>
          <w:lang w:val="en-US"/>
        </w:rPr>
        <w:t>Current provisions obligate Institutions to file an unusual operations report when countries and jurisdictions considered preferential tax regimes or identified by an international organization as lacking measures to combat ML/TF are involved. The Draft proposes to obligate Institutions to the following:</w:t>
      </w:r>
    </w:p>
    <w:p w14:paraId="7A808440"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2F5E7F64" w14:textId="77777777"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To determine the risk level of clients conducting transfers, Institutions must consider if such operations involve these countries or jurisdictions.</w:t>
      </w:r>
    </w:p>
    <w:p w14:paraId="5749E7C8" w14:textId="77777777" w:rsidR="00466CB1" w:rsidRPr="00466CB1" w:rsidRDefault="00466CB1" w:rsidP="00877580">
      <w:pPr>
        <w:pStyle w:val="Prrafodelista"/>
        <w:spacing w:after="0" w:line="276" w:lineRule="auto"/>
        <w:ind w:left="426"/>
        <w:jc w:val="both"/>
        <w:rPr>
          <w:rFonts w:ascii="Times New Roman" w:hAnsi="Times New Roman" w:cs="Times New Roman"/>
          <w:sz w:val="24"/>
          <w:szCs w:val="24"/>
          <w:lang w:val="en-US"/>
        </w:rPr>
      </w:pPr>
    </w:p>
    <w:p w14:paraId="4A22F800" w14:textId="450FCB48" w:rsidR="00466CB1" w:rsidRPr="0073648A" w:rsidRDefault="00466CB1" w:rsidP="0073648A">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Institutions must apply enhanced due diligence measures </w:t>
      </w:r>
      <w:r w:rsidR="0073648A">
        <w:rPr>
          <w:rFonts w:ascii="Times New Roman" w:hAnsi="Times New Roman" w:cs="Times New Roman"/>
          <w:sz w:val="24"/>
          <w:szCs w:val="24"/>
          <w:lang w:val="en-US"/>
        </w:rPr>
        <w:t>when providing</w:t>
      </w:r>
      <w:r w:rsidRPr="00466CB1">
        <w:rPr>
          <w:rFonts w:ascii="Times New Roman" w:hAnsi="Times New Roman" w:cs="Times New Roman"/>
          <w:sz w:val="24"/>
          <w:szCs w:val="24"/>
          <w:lang w:val="en-US"/>
        </w:rPr>
        <w:t xml:space="preserve"> correspondent services to foreign financial entities domiciled and constituted in such countries or jurisdictions.</w:t>
      </w:r>
    </w:p>
    <w:p w14:paraId="3A910266" w14:textId="77777777"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lastRenderedPageBreak/>
        <w:t>Entities must refrain from conducting correspondent operations with foreign financial entities or financial institutions or intermediaries that have no physical presence in any jurisdiction or do not have a business center.</w:t>
      </w:r>
    </w:p>
    <w:p w14:paraId="6815DA32" w14:textId="77777777" w:rsidR="00466CB1" w:rsidRPr="00466CB1" w:rsidRDefault="00466CB1" w:rsidP="00877580">
      <w:pPr>
        <w:pStyle w:val="Prrafodelista"/>
        <w:spacing w:after="0" w:line="276" w:lineRule="auto"/>
        <w:ind w:left="426"/>
        <w:jc w:val="both"/>
        <w:rPr>
          <w:rFonts w:ascii="Times New Roman" w:hAnsi="Times New Roman" w:cs="Times New Roman"/>
          <w:sz w:val="24"/>
          <w:szCs w:val="24"/>
          <w:lang w:val="en-US"/>
        </w:rPr>
      </w:pPr>
    </w:p>
    <w:p w14:paraId="29609385" w14:textId="77777777" w:rsidR="00466CB1" w:rsidRPr="00466CB1" w:rsidRDefault="00466CB1" w:rsidP="00877580">
      <w:pPr>
        <w:pStyle w:val="Prrafodelista"/>
        <w:numPr>
          <w:ilvl w:val="0"/>
          <w:numId w:val="23"/>
        </w:numPr>
        <w:spacing w:after="0" w:line="276" w:lineRule="auto"/>
        <w:ind w:left="426"/>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The jurisdiction or country involved must be included in the International Fund Transfer Reports.</w:t>
      </w:r>
    </w:p>
    <w:p w14:paraId="7908299C"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49312CC6" w14:textId="2BF8FFE2" w:rsidR="00466CB1" w:rsidRPr="00877580" w:rsidRDefault="00466CB1" w:rsidP="00877580">
      <w:pPr>
        <w:pStyle w:val="Prrafodelista"/>
        <w:numPr>
          <w:ilvl w:val="0"/>
          <w:numId w:val="12"/>
        </w:numPr>
        <w:tabs>
          <w:tab w:val="left" w:pos="7938"/>
        </w:tabs>
        <w:spacing w:after="0" w:line="276" w:lineRule="auto"/>
        <w:ind w:left="426" w:right="900" w:hanging="426"/>
        <w:jc w:val="both"/>
        <w:rPr>
          <w:rFonts w:ascii="Times New Roman" w:hAnsi="Times New Roman" w:cs="Times New Roman"/>
          <w:b/>
          <w:bCs/>
          <w:sz w:val="24"/>
          <w:szCs w:val="24"/>
          <w:lang w:val="en-US"/>
        </w:rPr>
      </w:pPr>
      <w:r w:rsidRPr="00877580">
        <w:rPr>
          <w:rFonts w:ascii="Times New Roman" w:hAnsi="Times New Roman" w:cs="Times New Roman"/>
          <w:b/>
          <w:bCs/>
          <w:sz w:val="24"/>
          <w:szCs w:val="24"/>
          <w:lang w:val="en-US"/>
        </w:rPr>
        <w:t>Transitional Provisions</w:t>
      </w:r>
    </w:p>
    <w:p w14:paraId="7E8F7F5E" w14:textId="77777777" w:rsidR="00466CB1" w:rsidRPr="00466CB1" w:rsidRDefault="00466CB1" w:rsidP="00877580">
      <w:pPr>
        <w:spacing w:after="0" w:line="276" w:lineRule="auto"/>
        <w:jc w:val="both"/>
        <w:rPr>
          <w:rFonts w:ascii="Times New Roman" w:hAnsi="Times New Roman" w:cs="Times New Roman"/>
          <w:sz w:val="24"/>
          <w:szCs w:val="24"/>
          <w:lang w:val="en-US"/>
        </w:rPr>
      </w:pPr>
    </w:p>
    <w:p w14:paraId="62163860" w14:textId="77777777" w:rsidR="00466CB1" w:rsidRDefault="00466CB1" w:rsidP="00877580">
      <w:pPr>
        <w:spacing w:after="0" w:line="276" w:lineRule="auto"/>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The amendments will enter into force the day after the Draft is published in the Official Gazette of the Federation. However, Institutions must comply with the following obligations within the following periods:</w:t>
      </w:r>
    </w:p>
    <w:p w14:paraId="728D4A5E" w14:textId="77777777" w:rsidR="00877580" w:rsidRPr="00466CB1" w:rsidRDefault="00877580" w:rsidP="00877580">
      <w:pPr>
        <w:spacing w:after="0" w:line="276" w:lineRule="auto"/>
        <w:jc w:val="both"/>
        <w:rPr>
          <w:rFonts w:ascii="Times New Roman" w:hAnsi="Times New Roman" w:cs="Times New Roman"/>
          <w:sz w:val="24"/>
          <w:szCs w:val="24"/>
          <w:lang w:val="en-US"/>
        </w:rPr>
      </w:pPr>
    </w:p>
    <w:p w14:paraId="097DA534" w14:textId="77777777" w:rsidR="00466CB1" w:rsidRPr="00466CB1" w:rsidRDefault="00466CB1" w:rsidP="00877580">
      <w:pPr>
        <w:spacing w:after="0" w:line="276" w:lineRule="auto"/>
        <w:jc w:val="both"/>
        <w:rPr>
          <w:rFonts w:ascii="Times New Roman" w:hAnsi="Times New Roman" w:cs="Times New Roman"/>
          <w:sz w:val="24"/>
          <w:szCs w:val="24"/>
          <w:lang w:val="en-US"/>
        </w:rPr>
      </w:pPr>
      <w:proofErr w:type="spellStart"/>
      <w:r w:rsidRPr="00466CB1">
        <w:rPr>
          <w:rFonts w:ascii="Times New Roman" w:hAnsi="Times New Roman" w:cs="Times New Roman"/>
          <w:sz w:val="24"/>
          <w:szCs w:val="24"/>
          <w:lang w:val="en-US"/>
        </w:rPr>
        <w:t>i</w:t>
      </w:r>
      <w:proofErr w:type="spellEnd"/>
      <w:r w:rsidRPr="00466CB1">
        <w:rPr>
          <w:rFonts w:ascii="Times New Roman" w:hAnsi="Times New Roman" w:cs="Times New Roman"/>
          <w:sz w:val="24"/>
          <w:szCs w:val="24"/>
          <w:lang w:val="en-US"/>
        </w:rPr>
        <w:t>. Eighteen months:</w:t>
      </w:r>
    </w:p>
    <w:p w14:paraId="343765B4" w14:textId="21906D50" w:rsidR="00466CB1" w:rsidRPr="00466CB1" w:rsidRDefault="00466CB1" w:rsidP="0073648A">
      <w:pPr>
        <w:spacing w:after="0" w:line="276" w:lineRule="auto"/>
        <w:ind w:left="284"/>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a. Modify the</w:t>
      </w:r>
      <w:r w:rsidR="0073648A">
        <w:rPr>
          <w:rFonts w:ascii="Times New Roman" w:hAnsi="Times New Roman" w:cs="Times New Roman"/>
          <w:sz w:val="24"/>
          <w:szCs w:val="24"/>
          <w:lang w:val="en-US"/>
        </w:rPr>
        <w:t>ir</w:t>
      </w:r>
      <w:r w:rsidRPr="00466CB1">
        <w:rPr>
          <w:rFonts w:ascii="Times New Roman" w:hAnsi="Times New Roman" w:cs="Times New Roman"/>
          <w:sz w:val="24"/>
          <w:szCs w:val="24"/>
          <w:lang w:val="en-US"/>
        </w:rPr>
        <w:t xml:space="preserve"> compliance manual and submit it to the CNBV.</w:t>
      </w:r>
    </w:p>
    <w:p w14:paraId="4C456B81" w14:textId="30F4732E" w:rsidR="00466CB1" w:rsidRPr="00466CB1" w:rsidRDefault="00466CB1" w:rsidP="0073648A">
      <w:pPr>
        <w:spacing w:after="0" w:line="276" w:lineRule="auto"/>
        <w:ind w:left="284"/>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b. Update </w:t>
      </w:r>
      <w:r w:rsidR="0073648A">
        <w:rPr>
          <w:rFonts w:ascii="Times New Roman" w:hAnsi="Times New Roman" w:cs="Times New Roman"/>
          <w:sz w:val="24"/>
          <w:szCs w:val="24"/>
          <w:lang w:val="en-US"/>
        </w:rPr>
        <w:t xml:space="preserve">their </w:t>
      </w:r>
      <w:r w:rsidRPr="00466CB1">
        <w:rPr>
          <w:rFonts w:ascii="Times New Roman" w:hAnsi="Times New Roman" w:cs="Times New Roman"/>
          <w:sz w:val="24"/>
          <w:szCs w:val="24"/>
          <w:lang w:val="en-US"/>
        </w:rPr>
        <w:t>automated systems.</w:t>
      </w:r>
    </w:p>
    <w:p w14:paraId="1E3A07C9" w14:textId="77777777" w:rsidR="00466CB1" w:rsidRDefault="00466CB1" w:rsidP="00877580">
      <w:pPr>
        <w:spacing w:after="0" w:line="276" w:lineRule="auto"/>
        <w:jc w:val="both"/>
        <w:rPr>
          <w:rFonts w:ascii="Times New Roman" w:hAnsi="Times New Roman" w:cs="Times New Roman"/>
          <w:sz w:val="24"/>
          <w:szCs w:val="24"/>
          <w:lang w:val="en-US"/>
        </w:rPr>
      </w:pPr>
    </w:p>
    <w:p w14:paraId="15A71E38" w14:textId="77777777" w:rsidR="0073648A" w:rsidRPr="00466CB1" w:rsidRDefault="0073648A" w:rsidP="00877580">
      <w:pPr>
        <w:spacing w:after="0" w:line="276" w:lineRule="auto"/>
        <w:jc w:val="both"/>
        <w:rPr>
          <w:rFonts w:ascii="Times New Roman" w:hAnsi="Times New Roman" w:cs="Times New Roman"/>
          <w:sz w:val="24"/>
          <w:szCs w:val="24"/>
          <w:lang w:val="en-US"/>
        </w:rPr>
      </w:pPr>
    </w:p>
    <w:p w14:paraId="33496E48" w14:textId="77777777" w:rsidR="00466CB1" w:rsidRPr="00466CB1" w:rsidRDefault="00466CB1" w:rsidP="00877580">
      <w:pPr>
        <w:spacing w:after="0" w:line="276" w:lineRule="auto"/>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ii. Twelve months:</w:t>
      </w:r>
    </w:p>
    <w:p w14:paraId="231885D7" w14:textId="11AE2E0F" w:rsidR="00466CB1" w:rsidRPr="00466CB1" w:rsidRDefault="00466CB1" w:rsidP="0073648A">
      <w:pPr>
        <w:spacing w:after="0" w:line="276" w:lineRule="auto"/>
        <w:ind w:left="284"/>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a. Modify the</w:t>
      </w:r>
      <w:r w:rsidR="0073648A">
        <w:rPr>
          <w:rFonts w:ascii="Times New Roman" w:hAnsi="Times New Roman" w:cs="Times New Roman"/>
          <w:sz w:val="24"/>
          <w:szCs w:val="24"/>
          <w:lang w:val="en-US"/>
        </w:rPr>
        <w:t>ir</w:t>
      </w:r>
      <w:r w:rsidRPr="00466CB1">
        <w:rPr>
          <w:rFonts w:ascii="Times New Roman" w:hAnsi="Times New Roman" w:cs="Times New Roman"/>
          <w:sz w:val="24"/>
          <w:szCs w:val="24"/>
          <w:lang w:val="en-US"/>
        </w:rPr>
        <w:t xml:space="preserve"> risk assessment methodology.</w:t>
      </w:r>
    </w:p>
    <w:p w14:paraId="5023FB27" w14:textId="310C4201" w:rsidR="00195BF3" w:rsidRDefault="00466CB1" w:rsidP="0073648A">
      <w:pPr>
        <w:spacing w:after="0" w:line="276" w:lineRule="auto"/>
        <w:ind w:left="284"/>
        <w:jc w:val="both"/>
        <w:rPr>
          <w:rFonts w:ascii="Times New Roman" w:hAnsi="Times New Roman" w:cs="Times New Roman"/>
          <w:sz w:val="24"/>
          <w:szCs w:val="24"/>
          <w:lang w:val="en-US"/>
        </w:rPr>
      </w:pPr>
      <w:r w:rsidRPr="00466CB1">
        <w:rPr>
          <w:rFonts w:ascii="Times New Roman" w:hAnsi="Times New Roman" w:cs="Times New Roman"/>
          <w:sz w:val="24"/>
          <w:szCs w:val="24"/>
          <w:lang w:val="en-US"/>
        </w:rPr>
        <w:t xml:space="preserve">b. Ensure </w:t>
      </w:r>
      <w:r w:rsidR="0073648A">
        <w:rPr>
          <w:rFonts w:ascii="Times New Roman" w:hAnsi="Times New Roman" w:cs="Times New Roman"/>
          <w:sz w:val="24"/>
          <w:szCs w:val="24"/>
          <w:lang w:val="en-US"/>
        </w:rPr>
        <w:t xml:space="preserve">that their </w:t>
      </w:r>
      <w:r w:rsidRPr="00466CB1">
        <w:rPr>
          <w:rFonts w:ascii="Times New Roman" w:hAnsi="Times New Roman" w:cs="Times New Roman"/>
          <w:sz w:val="24"/>
          <w:szCs w:val="24"/>
          <w:lang w:val="en-US"/>
        </w:rPr>
        <w:t xml:space="preserve">compliance officers </w:t>
      </w:r>
      <w:r w:rsidR="0073648A">
        <w:rPr>
          <w:rFonts w:ascii="Times New Roman" w:hAnsi="Times New Roman" w:cs="Times New Roman"/>
          <w:sz w:val="24"/>
          <w:szCs w:val="24"/>
          <w:lang w:val="en-US"/>
        </w:rPr>
        <w:t>are certified before the</w:t>
      </w:r>
      <w:r w:rsidRPr="00466CB1">
        <w:rPr>
          <w:rFonts w:ascii="Times New Roman" w:hAnsi="Times New Roman" w:cs="Times New Roman"/>
          <w:sz w:val="24"/>
          <w:szCs w:val="24"/>
          <w:lang w:val="en-US"/>
        </w:rPr>
        <w:t xml:space="preserve"> CNBV in ML/TF.</w:t>
      </w:r>
    </w:p>
    <w:p w14:paraId="6EACB31D" w14:textId="77777777" w:rsidR="00877580" w:rsidRPr="00466CB1" w:rsidRDefault="00877580" w:rsidP="00877580">
      <w:pPr>
        <w:spacing w:after="0" w:line="276" w:lineRule="auto"/>
        <w:jc w:val="both"/>
        <w:rPr>
          <w:rFonts w:ascii="Times New Roman" w:hAnsi="Times New Roman" w:cs="Times New Roman"/>
          <w:bCs/>
          <w:sz w:val="24"/>
          <w:szCs w:val="24"/>
          <w:lang w:val="en-US"/>
        </w:rPr>
      </w:pPr>
    </w:p>
    <w:p w14:paraId="7E9FDB4D" w14:textId="3067E169" w:rsidR="00BB1E71" w:rsidRPr="00466CB1" w:rsidRDefault="00BB1E71" w:rsidP="00877580">
      <w:pPr>
        <w:spacing w:after="0" w:line="276" w:lineRule="auto"/>
        <w:contextualSpacing/>
        <w:jc w:val="center"/>
        <w:rPr>
          <w:rFonts w:ascii="Times New Roman" w:hAnsi="Times New Roman" w:cs="Times New Roman"/>
          <w:sz w:val="24"/>
          <w:szCs w:val="24"/>
          <w:lang w:val="en-US"/>
        </w:rPr>
      </w:pPr>
      <w:r w:rsidRPr="00466CB1">
        <w:rPr>
          <w:rFonts w:ascii="Times New Roman" w:hAnsi="Times New Roman" w:cs="Times New Roman"/>
          <w:sz w:val="24"/>
          <w:szCs w:val="24"/>
          <w:lang w:val="en-US"/>
        </w:rPr>
        <w:t>*   *   *   *</w:t>
      </w:r>
    </w:p>
    <w:p w14:paraId="55AD0A57" w14:textId="77777777" w:rsidR="00BB1E71" w:rsidRPr="00466CB1" w:rsidRDefault="00BB1E71" w:rsidP="00877580">
      <w:pPr>
        <w:spacing w:after="0" w:line="276" w:lineRule="auto"/>
        <w:contextualSpacing/>
        <w:jc w:val="right"/>
        <w:rPr>
          <w:rFonts w:ascii="Times New Roman" w:hAnsi="Times New Roman" w:cs="Times New Roman"/>
          <w:sz w:val="24"/>
          <w:szCs w:val="24"/>
          <w:lang w:val="en-US"/>
        </w:rPr>
      </w:pPr>
      <w:r w:rsidRPr="00466CB1">
        <w:rPr>
          <w:rFonts w:ascii="Times New Roman" w:hAnsi="Times New Roman" w:cs="Times New Roman"/>
          <w:sz w:val="24"/>
          <w:szCs w:val="24"/>
          <w:lang w:val="en-US"/>
        </w:rPr>
        <w:t>Campa &amp; Mendoza</w:t>
      </w:r>
    </w:p>
    <w:p w14:paraId="457383BA" w14:textId="05A31C85" w:rsidR="00BB1E71" w:rsidRPr="00466CB1" w:rsidRDefault="00000000" w:rsidP="00877580">
      <w:pPr>
        <w:spacing w:after="0" w:line="276" w:lineRule="auto"/>
        <w:contextualSpacing/>
        <w:jc w:val="right"/>
        <w:rPr>
          <w:rStyle w:val="Hipervnculo"/>
          <w:rFonts w:ascii="Times New Roman" w:hAnsi="Times New Roman" w:cs="Times New Roman"/>
          <w:sz w:val="24"/>
          <w:szCs w:val="24"/>
          <w:lang w:val="en-US"/>
        </w:rPr>
      </w:pPr>
      <w:hyperlink r:id="rId11" w:history="1">
        <w:r w:rsidR="00BB1E71" w:rsidRPr="00466CB1">
          <w:rPr>
            <w:rStyle w:val="Hipervnculo"/>
            <w:rFonts w:ascii="Times New Roman" w:hAnsi="Times New Roman" w:cs="Times New Roman"/>
            <w:sz w:val="24"/>
            <w:szCs w:val="24"/>
            <w:lang w:val="en-US"/>
          </w:rPr>
          <w:t>contacto@campaymendoza.com</w:t>
        </w:r>
      </w:hyperlink>
    </w:p>
    <w:p w14:paraId="2E3DCE3D" w14:textId="77777777" w:rsidR="00A037F4" w:rsidRPr="00466CB1" w:rsidRDefault="00A037F4" w:rsidP="00877580">
      <w:pPr>
        <w:spacing w:after="0" w:line="276" w:lineRule="auto"/>
        <w:contextualSpacing/>
        <w:jc w:val="right"/>
        <w:rPr>
          <w:rFonts w:ascii="Times New Roman" w:hAnsi="Times New Roman" w:cs="Times New Roman"/>
          <w:sz w:val="24"/>
          <w:szCs w:val="24"/>
          <w:lang w:val="en-US"/>
        </w:rPr>
      </w:pPr>
    </w:p>
    <w:p w14:paraId="256FC588" w14:textId="45F7FAFE" w:rsidR="00D524B6" w:rsidRPr="00877580" w:rsidRDefault="00877580" w:rsidP="00877580">
      <w:pPr>
        <w:spacing w:after="0" w:line="276" w:lineRule="auto"/>
        <w:contextualSpacing/>
        <w:rPr>
          <w:rFonts w:ascii="Times New Roman" w:hAnsi="Times New Roman" w:cs="Times New Roman"/>
          <w:sz w:val="24"/>
          <w:szCs w:val="24"/>
          <w:lang w:val="en-US"/>
        </w:rPr>
      </w:pPr>
      <w:r w:rsidRPr="00877580">
        <w:rPr>
          <w:rFonts w:ascii="Times New Roman" w:hAnsi="Times New Roman" w:cs="Times New Roman"/>
          <w:sz w:val="24"/>
          <w:szCs w:val="24"/>
          <w:lang w:val="en-US"/>
        </w:rPr>
        <w:t>This document does not constitute legal advice.</w:t>
      </w:r>
    </w:p>
    <w:sectPr w:rsidR="00D524B6" w:rsidRPr="00877580" w:rsidSect="00A60602">
      <w:headerReference w:type="default" r:id="rId12"/>
      <w:footerReference w:type="default" r:id="rId13"/>
      <w:headerReference w:type="first" r:id="rId14"/>
      <w:footerReference w:type="first" r:id="rId15"/>
      <w:pgSz w:w="12240" w:h="15840" w:code="1"/>
      <w:pgMar w:top="2593" w:right="1701" w:bottom="2977" w:left="1701" w:header="709" w:footer="6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711F" w14:textId="77777777" w:rsidR="003B2108" w:rsidRDefault="003B2108" w:rsidP="00BB1E71">
      <w:pPr>
        <w:spacing w:after="0" w:line="240" w:lineRule="auto"/>
      </w:pPr>
      <w:r>
        <w:rPr>
          <w:lang w:val="es"/>
        </w:rPr>
        <w:separator/>
      </w:r>
    </w:p>
  </w:endnote>
  <w:endnote w:type="continuationSeparator" w:id="0">
    <w:p w14:paraId="54D08273" w14:textId="77777777" w:rsidR="003B2108" w:rsidRDefault="003B2108" w:rsidP="00BB1E71">
      <w:pPr>
        <w:spacing w:after="0" w:line="240" w:lineRule="auto"/>
      </w:pPr>
      <w:r>
        <w:rPr>
          <w:lang w:val="es"/>
        </w:rPr>
        <w:continuationSeparator/>
      </w:r>
    </w:p>
  </w:endnote>
  <w:endnote w:type="continuationNotice" w:id="1">
    <w:p w14:paraId="73A09DE5" w14:textId="77777777" w:rsidR="003B2108" w:rsidRDefault="003B2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51506"/>
      <w:docPartObj>
        <w:docPartGallery w:val="Page Numbers (Bottom of Page)"/>
        <w:docPartUnique/>
      </w:docPartObj>
    </w:sdtPr>
    <w:sdtContent>
      <w:p w14:paraId="5031D05D" w14:textId="77777777" w:rsidR="004F775B" w:rsidRDefault="0027411A">
        <w:pPr>
          <w:pStyle w:val="Piedepgina"/>
          <w:jc w:val="center"/>
          <w:rPr>
            <w:rFonts w:ascii="Times New Roman" w:hAnsi="Times New Roman" w:cs="Times New Roman"/>
          </w:rPr>
        </w:pPr>
        <w:r w:rsidRPr="001D777B">
          <w:rPr>
            <w:noProof/>
            <w:lang w:val="es"/>
          </w:rPr>
          <w:drawing>
            <wp:anchor distT="0" distB="0" distL="114300" distR="114300" simplePos="0" relativeHeight="251658242" behindDoc="1" locked="0" layoutInCell="1" allowOverlap="1" wp14:anchorId="04FEE25F" wp14:editId="413F1B99">
              <wp:simplePos x="0" y="0"/>
              <wp:positionH relativeFrom="margin">
                <wp:align>left</wp:align>
              </wp:positionH>
              <wp:positionV relativeFrom="paragraph">
                <wp:posOffset>77010</wp:posOffset>
              </wp:positionV>
              <wp:extent cx="5667154" cy="1295934"/>
              <wp:effectExtent l="0" t="0" r="0" b="0"/>
              <wp:wrapNone/>
              <wp:docPr id="1994997117" name="Imagen 1994997117"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r w:rsidRPr="00952327">
          <w:rPr>
            <w:lang w:val="es"/>
          </w:rPr>
          <w:fldChar w:fldCharType="begin"/>
        </w:r>
        <w:r w:rsidRPr="00952327">
          <w:rPr>
            <w:lang w:val="es"/>
          </w:rPr>
          <w:instrText>PAGE   \* MERGEFORMAT</w:instrText>
        </w:r>
        <w:r w:rsidRPr="00952327">
          <w:rPr>
            <w:lang w:val="es"/>
          </w:rPr>
          <w:fldChar w:fldCharType="separate"/>
        </w:r>
        <w:r w:rsidRPr="00952327">
          <w:rPr>
            <w:lang w:val="es"/>
          </w:rPr>
          <w:t>2</w:t>
        </w:r>
        <w:r w:rsidRPr="00952327">
          <w:rPr>
            <w:lang w:val="es"/>
          </w:rPr>
          <w:fldChar w:fldCharType="end"/>
        </w:r>
      </w:p>
      <w:p w14:paraId="2213725A" w14:textId="77777777" w:rsidR="004F775B" w:rsidRDefault="004F775B">
        <w:pPr>
          <w:pStyle w:val="Piedepgina"/>
          <w:jc w:val="center"/>
          <w:rPr>
            <w:rFonts w:ascii="Times New Roman" w:hAnsi="Times New Roman" w:cs="Times New Roman"/>
          </w:rPr>
        </w:pPr>
      </w:p>
      <w:p w14:paraId="5F16B61E" w14:textId="77777777" w:rsidR="004F775B" w:rsidRPr="00952327" w:rsidRDefault="004F775B">
        <w:pPr>
          <w:pStyle w:val="Piedepgina"/>
          <w:jc w:val="center"/>
          <w:rPr>
            <w:rFonts w:ascii="Times New Roman" w:hAnsi="Times New Roman" w:cs="Times New Roman"/>
          </w:rPr>
        </w:pPr>
      </w:p>
      <w:p w14:paraId="05558B6C" w14:textId="77777777" w:rsidR="004F775B" w:rsidRDefault="004F775B">
        <w:pPr>
          <w:pStyle w:val="Piedepgina"/>
          <w:jc w:val="center"/>
        </w:pPr>
      </w:p>
      <w:p w14:paraId="3DD25EA3" w14:textId="77777777" w:rsidR="004F775B" w:rsidRDefault="004F775B">
        <w:pPr>
          <w:pStyle w:val="Piedepgina"/>
          <w:jc w:val="center"/>
        </w:pPr>
      </w:p>
      <w:p w14:paraId="4A857A17" w14:textId="77777777" w:rsidR="004F775B" w:rsidRDefault="00000000">
        <w:pPr>
          <w:pStyle w:val="Piedepgina"/>
          <w:jc w:val="center"/>
        </w:pPr>
      </w:p>
    </w:sdtContent>
  </w:sdt>
  <w:p w14:paraId="7DA9AD40" w14:textId="77777777" w:rsidR="004F775B" w:rsidRDefault="004F77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F673" w14:textId="77777777" w:rsidR="004F775B" w:rsidRDefault="0027411A">
    <w:pPr>
      <w:pStyle w:val="Piedepgina"/>
    </w:pPr>
    <w:r w:rsidRPr="001D777B">
      <w:rPr>
        <w:noProof/>
        <w:lang w:val="es"/>
      </w:rPr>
      <w:drawing>
        <wp:anchor distT="0" distB="0" distL="114300" distR="114300" simplePos="0" relativeHeight="251658241" behindDoc="1" locked="0" layoutInCell="1" allowOverlap="1" wp14:anchorId="7ACAB530" wp14:editId="4D95F4F6">
          <wp:simplePos x="0" y="0"/>
          <wp:positionH relativeFrom="margin">
            <wp:align>right</wp:align>
          </wp:positionH>
          <wp:positionV relativeFrom="paragraph">
            <wp:posOffset>-1279601</wp:posOffset>
          </wp:positionV>
          <wp:extent cx="5667154" cy="1295934"/>
          <wp:effectExtent l="0" t="0" r="0" b="0"/>
          <wp:wrapNone/>
          <wp:docPr id="1370946292" name="Imagen 137094629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67154" cy="12959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EE913" w14:textId="77777777" w:rsidR="003B2108" w:rsidRDefault="003B2108" w:rsidP="00BB1E71">
      <w:pPr>
        <w:spacing w:after="0" w:line="240" w:lineRule="auto"/>
      </w:pPr>
      <w:r>
        <w:rPr>
          <w:lang w:val="es"/>
        </w:rPr>
        <w:separator/>
      </w:r>
    </w:p>
  </w:footnote>
  <w:footnote w:type="continuationSeparator" w:id="0">
    <w:p w14:paraId="6C73B2F1" w14:textId="77777777" w:rsidR="003B2108" w:rsidRDefault="003B2108" w:rsidP="00BB1E71">
      <w:pPr>
        <w:spacing w:after="0" w:line="240" w:lineRule="auto"/>
      </w:pPr>
      <w:r>
        <w:rPr>
          <w:lang w:val="es"/>
        </w:rPr>
        <w:continuationSeparator/>
      </w:r>
    </w:p>
  </w:footnote>
  <w:footnote w:type="continuationNotice" w:id="1">
    <w:p w14:paraId="222ECFDD" w14:textId="77777777" w:rsidR="003B2108" w:rsidRDefault="003B2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71B5" w14:textId="77777777" w:rsidR="004F775B" w:rsidRDefault="0027411A">
    <w:pPr>
      <w:pStyle w:val="Encabezado"/>
    </w:pPr>
    <w:r>
      <w:rPr>
        <w:noProof/>
        <w:lang w:val="es"/>
      </w:rPr>
      <w:drawing>
        <wp:anchor distT="0" distB="0" distL="114300" distR="114300" simplePos="0" relativeHeight="251658240" behindDoc="1" locked="0" layoutInCell="1" allowOverlap="1" wp14:anchorId="771E21BE" wp14:editId="5A017553">
          <wp:simplePos x="0" y="0"/>
          <wp:positionH relativeFrom="column">
            <wp:posOffset>-1067256</wp:posOffset>
          </wp:positionH>
          <wp:positionV relativeFrom="paragraph">
            <wp:posOffset>-436701</wp:posOffset>
          </wp:positionV>
          <wp:extent cx="7727324" cy="1464502"/>
          <wp:effectExtent l="0" t="0" r="0" b="0"/>
          <wp:wrapNone/>
          <wp:docPr id="1128171091" name="Imagen 112817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27324" cy="146450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D03B" w14:textId="77777777" w:rsidR="004F775B" w:rsidRDefault="0027411A">
    <w:pPr>
      <w:pStyle w:val="Encabezado"/>
    </w:pPr>
    <w:r w:rsidRPr="00C32CC9">
      <w:rPr>
        <w:noProof/>
        <w:lang w:val="es"/>
      </w:rPr>
      <w:drawing>
        <wp:inline distT="0" distB="0" distL="0" distR="0" wp14:anchorId="2D128231" wp14:editId="2D734656">
          <wp:extent cx="2862470" cy="1114805"/>
          <wp:effectExtent l="0" t="0" r="0" b="0"/>
          <wp:docPr id="693944350" name="Imagen 69394435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0504" cy="11724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33B7"/>
    <w:multiLevelType w:val="hybridMultilevel"/>
    <w:tmpl w:val="6038BD88"/>
    <w:lvl w:ilvl="0" w:tplc="BC6E542A">
      <w:start w:val="1"/>
      <w:numFmt w:val="lowerLetter"/>
      <w:lvlText w:val="%1."/>
      <w:lvlJc w:val="left"/>
      <w:pPr>
        <w:ind w:left="1129" w:hanging="36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1" w15:restartNumberingAfterBreak="0">
    <w:nsid w:val="0F154FD9"/>
    <w:multiLevelType w:val="hybridMultilevel"/>
    <w:tmpl w:val="1EB0B514"/>
    <w:lvl w:ilvl="0" w:tplc="A0DA452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97763"/>
    <w:multiLevelType w:val="hybridMultilevel"/>
    <w:tmpl w:val="17C0A27E"/>
    <w:lvl w:ilvl="0" w:tplc="49EC5BEE">
      <w:start w:val="1"/>
      <w:numFmt w:val="bullet"/>
      <w:lvlText w:val="-"/>
      <w:lvlJc w:val="left"/>
      <w:pPr>
        <w:ind w:left="1494" w:hanging="360"/>
      </w:pPr>
      <w:rPr>
        <w:rFonts w:ascii="Arial" w:eastAsiaTheme="minorHAnsi"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 w15:restartNumberingAfterBreak="0">
    <w:nsid w:val="1D7120F3"/>
    <w:multiLevelType w:val="hybridMultilevel"/>
    <w:tmpl w:val="876479F2"/>
    <w:lvl w:ilvl="0" w:tplc="DA6AC6A6">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BD0D12"/>
    <w:multiLevelType w:val="hybridMultilevel"/>
    <w:tmpl w:val="1AB88E42"/>
    <w:lvl w:ilvl="0" w:tplc="080A0005">
      <w:start w:val="1"/>
      <w:numFmt w:val="bullet"/>
      <w:lvlText w:val=""/>
      <w:lvlJc w:val="left"/>
      <w:pPr>
        <w:ind w:left="1077" w:hanging="360"/>
      </w:pPr>
      <w:rPr>
        <w:rFonts w:ascii="Wingdings" w:hAnsi="Wingding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5" w15:restartNumberingAfterBreak="0">
    <w:nsid w:val="212374C3"/>
    <w:multiLevelType w:val="hybridMultilevel"/>
    <w:tmpl w:val="4896330C"/>
    <w:lvl w:ilvl="0" w:tplc="BD5E5E74">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8630D9"/>
    <w:multiLevelType w:val="hybridMultilevel"/>
    <w:tmpl w:val="6038BD88"/>
    <w:lvl w:ilvl="0" w:tplc="FFFFFFFF">
      <w:start w:val="1"/>
      <w:numFmt w:val="lowerLetter"/>
      <w:lvlText w:val="%1."/>
      <w:lvlJc w:val="left"/>
      <w:pPr>
        <w:ind w:left="1129" w:hanging="360"/>
      </w:pPr>
      <w:rPr>
        <w:rFonts w:hint="default"/>
      </w:rPr>
    </w:lvl>
    <w:lvl w:ilvl="1" w:tplc="FFFFFFFF" w:tentative="1">
      <w:start w:val="1"/>
      <w:numFmt w:val="lowerLetter"/>
      <w:lvlText w:val="%2."/>
      <w:lvlJc w:val="left"/>
      <w:pPr>
        <w:ind w:left="1849" w:hanging="360"/>
      </w:p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7" w15:restartNumberingAfterBreak="0">
    <w:nsid w:val="28FA2DEE"/>
    <w:multiLevelType w:val="hybridMultilevel"/>
    <w:tmpl w:val="0E16B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811A66"/>
    <w:multiLevelType w:val="hybridMultilevel"/>
    <w:tmpl w:val="EB96769C"/>
    <w:lvl w:ilvl="0" w:tplc="E88035A6">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C833B9"/>
    <w:multiLevelType w:val="hybridMultilevel"/>
    <w:tmpl w:val="E820B2F2"/>
    <w:lvl w:ilvl="0" w:tplc="87FAEA16">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8DE6D90"/>
    <w:multiLevelType w:val="hybridMultilevel"/>
    <w:tmpl w:val="3FC0F84C"/>
    <w:lvl w:ilvl="0" w:tplc="227C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EB3C20"/>
    <w:multiLevelType w:val="hybridMultilevel"/>
    <w:tmpl w:val="1AAA4AE0"/>
    <w:lvl w:ilvl="0" w:tplc="F682A1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177461"/>
    <w:multiLevelType w:val="hybridMultilevel"/>
    <w:tmpl w:val="DA28D4E0"/>
    <w:lvl w:ilvl="0" w:tplc="446E8C3C">
      <w:start w:val="1"/>
      <w:numFmt w:val="low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65D6728"/>
    <w:multiLevelType w:val="hybridMultilevel"/>
    <w:tmpl w:val="50C61222"/>
    <w:lvl w:ilvl="0" w:tplc="83D05A32">
      <w:start w:val="1"/>
      <w:numFmt w:val="decimal"/>
      <w:lvlText w:val="%1."/>
      <w:lvlJc w:val="left"/>
      <w:pPr>
        <w:ind w:left="720" w:hanging="360"/>
      </w:pPr>
      <w:rPr>
        <w:rFonts w:ascii="Merriweather" w:hAnsi="Merriweather"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A31F22"/>
    <w:multiLevelType w:val="hybridMultilevel"/>
    <w:tmpl w:val="6FAA6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9C0D58"/>
    <w:multiLevelType w:val="hybridMultilevel"/>
    <w:tmpl w:val="F0603480"/>
    <w:lvl w:ilvl="0" w:tplc="A7502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FF3D7C"/>
    <w:multiLevelType w:val="hybridMultilevel"/>
    <w:tmpl w:val="DF08E574"/>
    <w:lvl w:ilvl="0" w:tplc="E88035A6">
      <w:start w:val="1"/>
      <w:numFmt w:val="bullet"/>
      <w:lvlText w:val="-"/>
      <w:lvlJc w:val="left"/>
      <w:pPr>
        <w:ind w:left="1440" w:hanging="360"/>
      </w:pPr>
      <w:rPr>
        <w:rFonts w:ascii="Times New Roman" w:eastAsiaTheme="minorHAns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0582376"/>
    <w:multiLevelType w:val="hybridMultilevel"/>
    <w:tmpl w:val="9882485C"/>
    <w:lvl w:ilvl="0" w:tplc="E88035A6">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0F47F1"/>
    <w:multiLevelType w:val="hybridMultilevel"/>
    <w:tmpl w:val="D29C4A5E"/>
    <w:lvl w:ilvl="0" w:tplc="F698BB94">
      <w:start w:val="1"/>
      <w:numFmt w:val="low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9" w15:restartNumberingAfterBreak="0">
    <w:nsid w:val="75727395"/>
    <w:multiLevelType w:val="hybridMultilevel"/>
    <w:tmpl w:val="0B88BEC8"/>
    <w:lvl w:ilvl="0" w:tplc="0A3611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541636"/>
    <w:multiLevelType w:val="hybridMultilevel"/>
    <w:tmpl w:val="362EE9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655709"/>
    <w:multiLevelType w:val="hybridMultilevel"/>
    <w:tmpl w:val="F4424F86"/>
    <w:lvl w:ilvl="0" w:tplc="7C4E1E40">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8A540E"/>
    <w:multiLevelType w:val="hybridMultilevel"/>
    <w:tmpl w:val="E63C3F9A"/>
    <w:lvl w:ilvl="0" w:tplc="83D05A32">
      <w:start w:val="1"/>
      <w:numFmt w:val="decimal"/>
      <w:lvlText w:val="%1."/>
      <w:lvlJc w:val="left"/>
      <w:pPr>
        <w:ind w:left="720" w:hanging="360"/>
      </w:pPr>
      <w:rPr>
        <w:rFonts w:ascii="Merriweather" w:hAnsi="Merriweather"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488011">
    <w:abstractNumId w:val="13"/>
  </w:num>
  <w:num w:numId="2" w16cid:durableId="704797556">
    <w:abstractNumId w:val="22"/>
  </w:num>
  <w:num w:numId="3" w16cid:durableId="232012998">
    <w:abstractNumId w:val="11"/>
  </w:num>
  <w:num w:numId="4" w16cid:durableId="1466117903">
    <w:abstractNumId w:val="14"/>
  </w:num>
  <w:num w:numId="5" w16cid:durableId="1291286049">
    <w:abstractNumId w:val="15"/>
  </w:num>
  <w:num w:numId="6" w16cid:durableId="2021083270">
    <w:abstractNumId w:val="19"/>
  </w:num>
  <w:num w:numId="7" w16cid:durableId="1348826930">
    <w:abstractNumId w:val="17"/>
  </w:num>
  <w:num w:numId="8" w16cid:durableId="1252663995">
    <w:abstractNumId w:val="4"/>
  </w:num>
  <w:num w:numId="9" w16cid:durableId="1133792514">
    <w:abstractNumId w:val="18"/>
  </w:num>
  <w:num w:numId="10" w16cid:durableId="1898079422">
    <w:abstractNumId w:val="20"/>
  </w:num>
  <w:num w:numId="11" w16cid:durableId="1005598291">
    <w:abstractNumId w:val="1"/>
  </w:num>
  <w:num w:numId="12" w16cid:durableId="611983285">
    <w:abstractNumId w:val="10"/>
  </w:num>
  <w:num w:numId="13" w16cid:durableId="517547563">
    <w:abstractNumId w:val="7"/>
  </w:num>
  <w:num w:numId="14" w16cid:durableId="1685588864">
    <w:abstractNumId w:val="3"/>
  </w:num>
  <w:num w:numId="15" w16cid:durableId="992098839">
    <w:abstractNumId w:val="12"/>
  </w:num>
  <w:num w:numId="16" w16cid:durableId="2129004341">
    <w:abstractNumId w:val="2"/>
  </w:num>
  <w:num w:numId="17" w16cid:durableId="1649095724">
    <w:abstractNumId w:val="8"/>
  </w:num>
  <w:num w:numId="18" w16cid:durableId="1929147111">
    <w:abstractNumId w:val="16"/>
  </w:num>
  <w:num w:numId="19" w16cid:durableId="1866402077">
    <w:abstractNumId w:val="9"/>
  </w:num>
  <w:num w:numId="20" w16cid:durableId="69691677">
    <w:abstractNumId w:val="0"/>
  </w:num>
  <w:num w:numId="21" w16cid:durableId="956446089">
    <w:abstractNumId w:val="6"/>
  </w:num>
  <w:num w:numId="22" w16cid:durableId="1359090344">
    <w:abstractNumId w:val="5"/>
  </w:num>
  <w:num w:numId="23" w16cid:durableId="8781240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1"/>
    <w:rsid w:val="00000D3F"/>
    <w:rsid w:val="000017DE"/>
    <w:rsid w:val="00002C84"/>
    <w:rsid w:val="00003ADB"/>
    <w:rsid w:val="00011C96"/>
    <w:rsid w:val="000207AA"/>
    <w:rsid w:val="00021864"/>
    <w:rsid w:val="000304D1"/>
    <w:rsid w:val="000334C5"/>
    <w:rsid w:val="00035BE6"/>
    <w:rsid w:val="00041D48"/>
    <w:rsid w:val="000420BC"/>
    <w:rsid w:val="00051716"/>
    <w:rsid w:val="00052018"/>
    <w:rsid w:val="0005369C"/>
    <w:rsid w:val="00054CEA"/>
    <w:rsid w:val="00054EC9"/>
    <w:rsid w:val="00061779"/>
    <w:rsid w:val="00061B36"/>
    <w:rsid w:val="00063779"/>
    <w:rsid w:val="00063FF6"/>
    <w:rsid w:val="00065771"/>
    <w:rsid w:val="0007071D"/>
    <w:rsid w:val="0007647D"/>
    <w:rsid w:val="00080021"/>
    <w:rsid w:val="00083D2E"/>
    <w:rsid w:val="0008626B"/>
    <w:rsid w:val="000923E2"/>
    <w:rsid w:val="000A103D"/>
    <w:rsid w:val="000A15BF"/>
    <w:rsid w:val="000A2B44"/>
    <w:rsid w:val="000C548F"/>
    <w:rsid w:val="000C60B8"/>
    <w:rsid w:val="000D4911"/>
    <w:rsid w:val="000E13E6"/>
    <w:rsid w:val="000E6C70"/>
    <w:rsid w:val="000F562D"/>
    <w:rsid w:val="000F64CD"/>
    <w:rsid w:val="001041D0"/>
    <w:rsid w:val="00105703"/>
    <w:rsid w:val="00107D81"/>
    <w:rsid w:val="0011018A"/>
    <w:rsid w:val="001215B8"/>
    <w:rsid w:val="001224D6"/>
    <w:rsid w:val="0014268B"/>
    <w:rsid w:val="00147281"/>
    <w:rsid w:val="00150156"/>
    <w:rsid w:val="00161687"/>
    <w:rsid w:val="00174AF6"/>
    <w:rsid w:val="00180B64"/>
    <w:rsid w:val="00195BF3"/>
    <w:rsid w:val="001A03E9"/>
    <w:rsid w:val="001A07DB"/>
    <w:rsid w:val="001A74D5"/>
    <w:rsid w:val="001B1ACF"/>
    <w:rsid w:val="001B78B3"/>
    <w:rsid w:val="001B7E62"/>
    <w:rsid w:val="001C0926"/>
    <w:rsid w:val="001C0CC3"/>
    <w:rsid w:val="001C3B76"/>
    <w:rsid w:val="001D58BD"/>
    <w:rsid w:val="001E0FFD"/>
    <w:rsid w:val="001E1DB9"/>
    <w:rsid w:val="001E473B"/>
    <w:rsid w:val="001F1B9E"/>
    <w:rsid w:val="001F5F0D"/>
    <w:rsid w:val="001F72C0"/>
    <w:rsid w:val="00205F8A"/>
    <w:rsid w:val="00206C23"/>
    <w:rsid w:val="0021273B"/>
    <w:rsid w:val="00214C0B"/>
    <w:rsid w:val="00220CDC"/>
    <w:rsid w:val="002268C2"/>
    <w:rsid w:val="00231EA2"/>
    <w:rsid w:val="00233144"/>
    <w:rsid w:val="00233763"/>
    <w:rsid w:val="00237057"/>
    <w:rsid w:val="002402A1"/>
    <w:rsid w:val="00252F19"/>
    <w:rsid w:val="00253E2D"/>
    <w:rsid w:val="00265E06"/>
    <w:rsid w:val="0027081B"/>
    <w:rsid w:val="0027411A"/>
    <w:rsid w:val="0027494A"/>
    <w:rsid w:val="00274FDD"/>
    <w:rsid w:val="002801A1"/>
    <w:rsid w:val="00280D89"/>
    <w:rsid w:val="002819C3"/>
    <w:rsid w:val="0028224D"/>
    <w:rsid w:val="00284CFA"/>
    <w:rsid w:val="00286F8D"/>
    <w:rsid w:val="00291331"/>
    <w:rsid w:val="002979BF"/>
    <w:rsid w:val="002B09CF"/>
    <w:rsid w:val="002B1D35"/>
    <w:rsid w:val="002B44F8"/>
    <w:rsid w:val="002B6B86"/>
    <w:rsid w:val="002C0AE5"/>
    <w:rsid w:val="002C581F"/>
    <w:rsid w:val="002C6864"/>
    <w:rsid w:val="002C7080"/>
    <w:rsid w:val="002D04A5"/>
    <w:rsid w:val="002D6D2E"/>
    <w:rsid w:val="002D73B8"/>
    <w:rsid w:val="002E6F4C"/>
    <w:rsid w:val="002F134E"/>
    <w:rsid w:val="002F2057"/>
    <w:rsid w:val="002F2DD4"/>
    <w:rsid w:val="002F65B5"/>
    <w:rsid w:val="00303982"/>
    <w:rsid w:val="003206AB"/>
    <w:rsid w:val="0032409B"/>
    <w:rsid w:val="0032649E"/>
    <w:rsid w:val="0032688D"/>
    <w:rsid w:val="00327570"/>
    <w:rsid w:val="00337A74"/>
    <w:rsid w:val="00337C63"/>
    <w:rsid w:val="00342E39"/>
    <w:rsid w:val="0036602C"/>
    <w:rsid w:val="00366E64"/>
    <w:rsid w:val="00372B57"/>
    <w:rsid w:val="00372BF2"/>
    <w:rsid w:val="003816B2"/>
    <w:rsid w:val="00382787"/>
    <w:rsid w:val="0039152B"/>
    <w:rsid w:val="00393B81"/>
    <w:rsid w:val="00396E2F"/>
    <w:rsid w:val="00397B8B"/>
    <w:rsid w:val="003A3272"/>
    <w:rsid w:val="003A5551"/>
    <w:rsid w:val="003A5DC8"/>
    <w:rsid w:val="003B1A1C"/>
    <w:rsid w:val="003B209C"/>
    <w:rsid w:val="003B2108"/>
    <w:rsid w:val="003B34AC"/>
    <w:rsid w:val="003C1D62"/>
    <w:rsid w:val="003C7802"/>
    <w:rsid w:val="003E39A8"/>
    <w:rsid w:val="003E51E3"/>
    <w:rsid w:val="003F4B4A"/>
    <w:rsid w:val="003F5FB1"/>
    <w:rsid w:val="003F725F"/>
    <w:rsid w:val="003F7CAF"/>
    <w:rsid w:val="004014E2"/>
    <w:rsid w:val="00403FC8"/>
    <w:rsid w:val="00405326"/>
    <w:rsid w:val="00412047"/>
    <w:rsid w:val="00413BAE"/>
    <w:rsid w:val="00414587"/>
    <w:rsid w:val="00416920"/>
    <w:rsid w:val="00422AD5"/>
    <w:rsid w:val="00426485"/>
    <w:rsid w:val="004351AA"/>
    <w:rsid w:val="00436DCE"/>
    <w:rsid w:val="004416DD"/>
    <w:rsid w:val="00442C7A"/>
    <w:rsid w:val="00442D24"/>
    <w:rsid w:val="004442D2"/>
    <w:rsid w:val="00444D95"/>
    <w:rsid w:val="00446066"/>
    <w:rsid w:val="004500C4"/>
    <w:rsid w:val="00466CB1"/>
    <w:rsid w:val="00475E98"/>
    <w:rsid w:val="00476FA6"/>
    <w:rsid w:val="00480521"/>
    <w:rsid w:val="00480AAC"/>
    <w:rsid w:val="00485D64"/>
    <w:rsid w:val="00491861"/>
    <w:rsid w:val="00492662"/>
    <w:rsid w:val="00493A0D"/>
    <w:rsid w:val="00497040"/>
    <w:rsid w:val="004A08E3"/>
    <w:rsid w:val="004A1A0A"/>
    <w:rsid w:val="004A378B"/>
    <w:rsid w:val="004A4EC0"/>
    <w:rsid w:val="004A56E6"/>
    <w:rsid w:val="004B0B3E"/>
    <w:rsid w:val="004B0CEA"/>
    <w:rsid w:val="004B245A"/>
    <w:rsid w:val="004C7E2F"/>
    <w:rsid w:val="004D0188"/>
    <w:rsid w:val="004D294B"/>
    <w:rsid w:val="004D5B81"/>
    <w:rsid w:val="004E0BF2"/>
    <w:rsid w:val="004E2849"/>
    <w:rsid w:val="004E6624"/>
    <w:rsid w:val="004F3B1D"/>
    <w:rsid w:val="004F6B2F"/>
    <w:rsid w:val="004F7596"/>
    <w:rsid w:val="004F775B"/>
    <w:rsid w:val="004F7CF0"/>
    <w:rsid w:val="00504EB2"/>
    <w:rsid w:val="005220A7"/>
    <w:rsid w:val="005240B4"/>
    <w:rsid w:val="00526690"/>
    <w:rsid w:val="005274A1"/>
    <w:rsid w:val="00532D74"/>
    <w:rsid w:val="00534572"/>
    <w:rsid w:val="00537E35"/>
    <w:rsid w:val="00545DF4"/>
    <w:rsid w:val="00552BAB"/>
    <w:rsid w:val="00555BE0"/>
    <w:rsid w:val="00565955"/>
    <w:rsid w:val="00570915"/>
    <w:rsid w:val="0058378C"/>
    <w:rsid w:val="005933D9"/>
    <w:rsid w:val="00593898"/>
    <w:rsid w:val="005A4854"/>
    <w:rsid w:val="005A7234"/>
    <w:rsid w:val="005B17A4"/>
    <w:rsid w:val="005B47B1"/>
    <w:rsid w:val="005B7F81"/>
    <w:rsid w:val="005C2525"/>
    <w:rsid w:val="005D3622"/>
    <w:rsid w:val="005D5C5E"/>
    <w:rsid w:val="005E1358"/>
    <w:rsid w:val="005E63BD"/>
    <w:rsid w:val="005E6B75"/>
    <w:rsid w:val="005E77FA"/>
    <w:rsid w:val="005F71E1"/>
    <w:rsid w:val="00602468"/>
    <w:rsid w:val="00602D79"/>
    <w:rsid w:val="006121DF"/>
    <w:rsid w:val="0062269D"/>
    <w:rsid w:val="00622F70"/>
    <w:rsid w:val="00627C6B"/>
    <w:rsid w:val="00631D26"/>
    <w:rsid w:val="00634A48"/>
    <w:rsid w:val="00640DF6"/>
    <w:rsid w:val="0064126E"/>
    <w:rsid w:val="006439C5"/>
    <w:rsid w:val="00645993"/>
    <w:rsid w:val="00646C1B"/>
    <w:rsid w:val="00647891"/>
    <w:rsid w:val="00656C36"/>
    <w:rsid w:val="006605AB"/>
    <w:rsid w:val="00674706"/>
    <w:rsid w:val="0067730B"/>
    <w:rsid w:val="00680477"/>
    <w:rsid w:val="006812D9"/>
    <w:rsid w:val="00684309"/>
    <w:rsid w:val="00691A3A"/>
    <w:rsid w:val="006A3495"/>
    <w:rsid w:val="006A66A3"/>
    <w:rsid w:val="006B07DC"/>
    <w:rsid w:val="006B1554"/>
    <w:rsid w:val="006B186C"/>
    <w:rsid w:val="006B544B"/>
    <w:rsid w:val="006B7886"/>
    <w:rsid w:val="006B7DB6"/>
    <w:rsid w:val="006C3996"/>
    <w:rsid w:val="006C3D60"/>
    <w:rsid w:val="006C450D"/>
    <w:rsid w:val="006D1384"/>
    <w:rsid w:val="006D1948"/>
    <w:rsid w:val="006D2457"/>
    <w:rsid w:val="006D2966"/>
    <w:rsid w:val="006D6CC6"/>
    <w:rsid w:val="006E5EEE"/>
    <w:rsid w:val="006F1F2A"/>
    <w:rsid w:val="006F38D3"/>
    <w:rsid w:val="006F6D09"/>
    <w:rsid w:val="00711B93"/>
    <w:rsid w:val="00712C85"/>
    <w:rsid w:val="00716083"/>
    <w:rsid w:val="00716EB4"/>
    <w:rsid w:val="00722292"/>
    <w:rsid w:val="007262DA"/>
    <w:rsid w:val="007272DB"/>
    <w:rsid w:val="00733CE0"/>
    <w:rsid w:val="0073648A"/>
    <w:rsid w:val="00740FF3"/>
    <w:rsid w:val="00744A3D"/>
    <w:rsid w:val="00756AA5"/>
    <w:rsid w:val="00761BBE"/>
    <w:rsid w:val="00762877"/>
    <w:rsid w:val="00765D16"/>
    <w:rsid w:val="00771B0A"/>
    <w:rsid w:val="0078415D"/>
    <w:rsid w:val="007842F4"/>
    <w:rsid w:val="007954F1"/>
    <w:rsid w:val="007A49FC"/>
    <w:rsid w:val="007B35E6"/>
    <w:rsid w:val="007B519C"/>
    <w:rsid w:val="007D26A5"/>
    <w:rsid w:val="007D2E3C"/>
    <w:rsid w:val="007E7C87"/>
    <w:rsid w:val="007F2B0E"/>
    <w:rsid w:val="007F5310"/>
    <w:rsid w:val="007F5AD9"/>
    <w:rsid w:val="008062AC"/>
    <w:rsid w:val="00812BE0"/>
    <w:rsid w:val="00816747"/>
    <w:rsid w:val="0081765B"/>
    <w:rsid w:val="0082522D"/>
    <w:rsid w:val="00825745"/>
    <w:rsid w:val="008309AD"/>
    <w:rsid w:val="00830C00"/>
    <w:rsid w:val="00832EE5"/>
    <w:rsid w:val="00836377"/>
    <w:rsid w:val="00837DC9"/>
    <w:rsid w:val="008425A6"/>
    <w:rsid w:val="00846B07"/>
    <w:rsid w:val="00850533"/>
    <w:rsid w:val="00852098"/>
    <w:rsid w:val="00854B79"/>
    <w:rsid w:val="0087010A"/>
    <w:rsid w:val="00871B47"/>
    <w:rsid w:val="00871D6D"/>
    <w:rsid w:val="008730D9"/>
    <w:rsid w:val="00877580"/>
    <w:rsid w:val="00883F2C"/>
    <w:rsid w:val="00896706"/>
    <w:rsid w:val="008A15AA"/>
    <w:rsid w:val="008A1F05"/>
    <w:rsid w:val="008A3FEC"/>
    <w:rsid w:val="008A4FCC"/>
    <w:rsid w:val="008B69A7"/>
    <w:rsid w:val="008C310E"/>
    <w:rsid w:val="008C3CBC"/>
    <w:rsid w:val="008C4E8C"/>
    <w:rsid w:val="008C77CD"/>
    <w:rsid w:val="008D0730"/>
    <w:rsid w:val="008D2371"/>
    <w:rsid w:val="008D2989"/>
    <w:rsid w:val="008D2A58"/>
    <w:rsid w:val="008E42DC"/>
    <w:rsid w:val="008E4732"/>
    <w:rsid w:val="008E573E"/>
    <w:rsid w:val="008E5C3A"/>
    <w:rsid w:val="008F0657"/>
    <w:rsid w:val="008F5EC0"/>
    <w:rsid w:val="00903A03"/>
    <w:rsid w:val="00911482"/>
    <w:rsid w:val="009149EA"/>
    <w:rsid w:val="00915007"/>
    <w:rsid w:val="009211A1"/>
    <w:rsid w:val="00926F93"/>
    <w:rsid w:val="00930534"/>
    <w:rsid w:val="00935165"/>
    <w:rsid w:val="00937036"/>
    <w:rsid w:val="00946666"/>
    <w:rsid w:val="00946BA6"/>
    <w:rsid w:val="00954797"/>
    <w:rsid w:val="00961B90"/>
    <w:rsid w:val="0096368E"/>
    <w:rsid w:val="00973DBB"/>
    <w:rsid w:val="00995182"/>
    <w:rsid w:val="009A4656"/>
    <w:rsid w:val="009A4730"/>
    <w:rsid w:val="009A5726"/>
    <w:rsid w:val="009B4D36"/>
    <w:rsid w:val="009C57E2"/>
    <w:rsid w:val="009C71FB"/>
    <w:rsid w:val="009D069A"/>
    <w:rsid w:val="009E0EF3"/>
    <w:rsid w:val="009F0D47"/>
    <w:rsid w:val="009F1CE5"/>
    <w:rsid w:val="009F208D"/>
    <w:rsid w:val="009F4048"/>
    <w:rsid w:val="009F466A"/>
    <w:rsid w:val="009F7276"/>
    <w:rsid w:val="00A000F3"/>
    <w:rsid w:val="00A02281"/>
    <w:rsid w:val="00A03017"/>
    <w:rsid w:val="00A037F4"/>
    <w:rsid w:val="00A068CE"/>
    <w:rsid w:val="00A06CB9"/>
    <w:rsid w:val="00A13B72"/>
    <w:rsid w:val="00A14B85"/>
    <w:rsid w:val="00A22662"/>
    <w:rsid w:val="00A240C0"/>
    <w:rsid w:val="00A25554"/>
    <w:rsid w:val="00A2669A"/>
    <w:rsid w:val="00A269A7"/>
    <w:rsid w:val="00A30E11"/>
    <w:rsid w:val="00A34CD8"/>
    <w:rsid w:val="00A4072E"/>
    <w:rsid w:val="00A440FC"/>
    <w:rsid w:val="00A47D80"/>
    <w:rsid w:val="00A51181"/>
    <w:rsid w:val="00A56BB7"/>
    <w:rsid w:val="00A60602"/>
    <w:rsid w:val="00A62EB5"/>
    <w:rsid w:val="00A63466"/>
    <w:rsid w:val="00A72101"/>
    <w:rsid w:val="00A7293E"/>
    <w:rsid w:val="00A76CAE"/>
    <w:rsid w:val="00A818A9"/>
    <w:rsid w:val="00A96928"/>
    <w:rsid w:val="00A97FA2"/>
    <w:rsid w:val="00AA486D"/>
    <w:rsid w:val="00AA690C"/>
    <w:rsid w:val="00AA7115"/>
    <w:rsid w:val="00AB31DA"/>
    <w:rsid w:val="00AB3D74"/>
    <w:rsid w:val="00AC01DC"/>
    <w:rsid w:val="00AC0EDB"/>
    <w:rsid w:val="00AC1911"/>
    <w:rsid w:val="00AC64FC"/>
    <w:rsid w:val="00AD1616"/>
    <w:rsid w:val="00AD54BB"/>
    <w:rsid w:val="00AE5A92"/>
    <w:rsid w:val="00AF03A2"/>
    <w:rsid w:val="00AF5E1D"/>
    <w:rsid w:val="00AF7482"/>
    <w:rsid w:val="00B03D10"/>
    <w:rsid w:val="00B03F88"/>
    <w:rsid w:val="00B16265"/>
    <w:rsid w:val="00B24D76"/>
    <w:rsid w:val="00B27AF4"/>
    <w:rsid w:val="00B452BB"/>
    <w:rsid w:val="00B467B3"/>
    <w:rsid w:val="00B51AE1"/>
    <w:rsid w:val="00B57782"/>
    <w:rsid w:val="00B67A10"/>
    <w:rsid w:val="00B70069"/>
    <w:rsid w:val="00B75032"/>
    <w:rsid w:val="00B95947"/>
    <w:rsid w:val="00BA503C"/>
    <w:rsid w:val="00BA571B"/>
    <w:rsid w:val="00BA669A"/>
    <w:rsid w:val="00BA68C7"/>
    <w:rsid w:val="00BA69AC"/>
    <w:rsid w:val="00BA78EE"/>
    <w:rsid w:val="00BA7BF0"/>
    <w:rsid w:val="00BB0774"/>
    <w:rsid w:val="00BB1E71"/>
    <w:rsid w:val="00BB6203"/>
    <w:rsid w:val="00BC1242"/>
    <w:rsid w:val="00BD3109"/>
    <w:rsid w:val="00BD71B1"/>
    <w:rsid w:val="00BD7E57"/>
    <w:rsid w:val="00BE77C6"/>
    <w:rsid w:val="00BF1B98"/>
    <w:rsid w:val="00BF1BEB"/>
    <w:rsid w:val="00BF263E"/>
    <w:rsid w:val="00BF4D84"/>
    <w:rsid w:val="00BF6A86"/>
    <w:rsid w:val="00C01E33"/>
    <w:rsid w:val="00C05D71"/>
    <w:rsid w:val="00C1087D"/>
    <w:rsid w:val="00C1192B"/>
    <w:rsid w:val="00C14011"/>
    <w:rsid w:val="00C17275"/>
    <w:rsid w:val="00C25CC8"/>
    <w:rsid w:val="00C26F11"/>
    <w:rsid w:val="00C2776B"/>
    <w:rsid w:val="00C33FEC"/>
    <w:rsid w:val="00C36F87"/>
    <w:rsid w:val="00C373D0"/>
    <w:rsid w:val="00C3772E"/>
    <w:rsid w:val="00C41CA7"/>
    <w:rsid w:val="00C42934"/>
    <w:rsid w:val="00C43EDE"/>
    <w:rsid w:val="00C459D6"/>
    <w:rsid w:val="00C54FB3"/>
    <w:rsid w:val="00C80373"/>
    <w:rsid w:val="00C81513"/>
    <w:rsid w:val="00C83E0B"/>
    <w:rsid w:val="00C93A49"/>
    <w:rsid w:val="00CA00DE"/>
    <w:rsid w:val="00CA06E0"/>
    <w:rsid w:val="00CA2668"/>
    <w:rsid w:val="00CA2A17"/>
    <w:rsid w:val="00CA6520"/>
    <w:rsid w:val="00CA7349"/>
    <w:rsid w:val="00CA7BCE"/>
    <w:rsid w:val="00CB144F"/>
    <w:rsid w:val="00CB648E"/>
    <w:rsid w:val="00CC0006"/>
    <w:rsid w:val="00CC1FCC"/>
    <w:rsid w:val="00CC328D"/>
    <w:rsid w:val="00CC5839"/>
    <w:rsid w:val="00CC69FE"/>
    <w:rsid w:val="00CD213C"/>
    <w:rsid w:val="00CD4483"/>
    <w:rsid w:val="00CF755C"/>
    <w:rsid w:val="00D0260F"/>
    <w:rsid w:val="00D03CB4"/>
    <w:rsid w:val="00D03E1E"/>
    <w:rsid w:val="00D047C1"/>
    <w:rsid w:val="00D1221D"/>
    <w:rsid w:val="00D131BC"/>
    <w:rsid w:val="00D14569"/>
    <w:rsid w:val="00D16AEE"/>
    <w:rsid w:val="00D20F51"/>
    <w:rsid w:val="00D24E3A"/>
    <w:rsid w:val="00D35B9D"/>
    <w:rsid w:val="00D36663"/>
    <w:rsid w:val="00D36699"/>
    <w:rsid w:val="00D378BC"/>
    <w:rsid w:val="00D37E8B"/>
    <w:rsid w:val="00D47240"/>
    <w:rsid w:val="00D4772D"/>
    <w:rsid w:val="00D52455"/>
    <w:rsid w:val="00D524B6"/>
    <w:rsid w:val="00D52E5A"/>
    <w:rsid w:val="00D552B4"/>
    <w:rsid w:val="00D55B87"/>
    <w:rsid w:val="00D61F12"/>
    <w:rsid w:val="00D64009"/>
    <w:rsid w:val="00D7154A"/>
    <w:rsid w:val="00D71966"/>
    <w:rsid w:val="00D71981"/>
    <w:rsid w:val="00D811B9"/>
    <w:rsid w:val="00D878F1"/>
    <w:rsid w:val="00D90B2F"/>
    <w:rsid w:val="00D91970"/>
    <w:rsid w:val="00D95905"/>
    <w:rsid w:val="00DA1514"/>
    <w:rsid w:val="00DB02CD"/>
    <w:rsid w:val="00DB03EF"/>
    <w:rsid w:val="00DB6530"/>
    <w:rsid w:val="00DC78FA"/>
    <w:rsid w:val="00DD1DD1"/>
    <w:rsid w:val="00DD2867"/>
    <w:rsid w:val="00DD429E"/>
    <w:rsid w:val="00DE0827"/>
    <w:rsid w:val="00DE1961"/>
    <w:rsid w:val="00DE4849"/>
    <w:rsid w:val="00DF13A5"/>
    <w:rsid w:val="00DF3A13"/>
    <w:rsid w:val="00DF5EE2"/>
    <w:rsid w:val="00E072B9"/>
    <w:rsid w:val="00E07986"/>
    <w:rsid w:val="00E1195C"/>
    <w:rsid w:val="00E23440"/>
    <w:rsid w:val="00E23A0F"/>
    <w:rsid w:val="00E366C6"/>
    <w:rsid w:val="00E37711"/>
    <w:rsid w:val="00E46AD5"/>
    <w:rsid w:val="00E550F9"/>
    <w:rsid w:val="00E70695"/>
    <w:rsid w:val="00E735F9"/>
    <w:rsid w:val="00E76D2C"/>
    <w:rsid w:val="00E81681"/>
    <w:rsid w:val="00E8231A"/>
    <w:rsid w:val="00E829AA"/>
    <w:rsid w:val="00E85E7D"/>
    <w:rsid w:val="00E94E4C"/>
    <w:rsid w:val="00E9688B"/>
    <w:rsid w:val="00EB012D"/>
    <w:rsid w:val="00EB1E5A"/>
    <w:rsid w:val="00EB713E"/>
    <w:rsid w:val="00EB7DEF"/>
    <w:rsid w:val="00EC7C1F"/>
    <w:rsid w:val="00ED0431"/>
    <w:rsid w:val="00ED3A1D"/>
    <w:rsid w:val="00ED79E9"/>
    <w:rsid w:val="00EE711A"/>
    <w:rsid w:val="00EF07E1"/>
    <w:rsid w:val="00EF5392"/>
    <w:rsid w:val="00F0667C"/>
    <w:rsid w:val="00F076FE"/>
    <w:rsid w:val="00F10699"/>
    <w:rsid w:val="00F11C0C"/>
    <w:rsid w:val="00F124AA"/>
    <w:rsid w:val="00F4014A"/>
    <w:rsid w:val="00F448DC"/>
    <w:rsid w:val="00F46A77"/>
    <w:rsid w:val="00F46F7D"/>
    <w:rsid w:val="00F52D14"/>
    <w:rsid w:val="00F547F3"/>
    <w:rsid w:val="00F56247"/>
    <w:rsid w:val="00F60166"/>
    <w:rsid w:val="00F615B5"/>
    <w:rsid w:val="00F65ADC"/>
    <w:rsid w:val="00F7496E"/>
    <w:rsid w:val="00F74FEF"/>
    <w:rsid w:val="00F93CF0"/>
    <w:rsid w:val="00FA092D"/>
    <w:rsid w:val="00FA0D13"/>
    <w:rsid w:val="00FB1901"/>
    <w:rsid w:val="00FB4427"/>
    <w:rsid w:val="00FC0979"/>
    <w:rsid w:val="00FD01C5"/>
    <w:rsid w:val="00FD0589"/>
    <w:rsid w:val="00FD0FD1"/>
    <w:rsid w:val="00FD15C4"/>
    <w:rsid w:val="00FD1ED4"/>
    <w:rsid w:val="00FD399B"/>
    <w:rsid w:val="00FD4E61"/>
    <w:rsid w:val="00FD611D"/>
    <w:rsid w:val="00FD700C"/>
    <w:rsid w:val="00FE1140"/>
    <w:rsid w:val="00FE135E"/>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48585"/>
  <w15:chartTrackingRefBased/>
  <w15:docId w15:val="{2465C779-90DD-4F93-965A-309295C0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E7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BB1E71"/>
    <w:rPr>
      <w:sz w:val="24"/>
      <w:szCs w:val="24"/>
    </w:rPr>
  </w:style>
  <w:style w:type="paragraph" w:styleId="Piedepgina">
    <w:name w:val="footer"/>
    <w:basedOn w:val="Normal"/>
    <w:link w:val="PiedepginaCar"/>
    <w:uiPriority w:val="99"/>
    <w:unhideWhenUsed/>
    <w:rsid w:val="00BB1E71"/>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BB1E71"/>
    <w:rPr>
      <w:sz w:val="24"/>
      <w:szCs w:val="24"/>
    </w:rPr>
  </w:style>
  <w:style w:type="paragraph" w:styleId="Prrafodelista">
    <w:name w:val="List Paragraph"/>
    <w:basedOn w:val="Normal"/>
    <w:uiPriority w:val="34"/>
    <w:qFormat/>
    <w:rsid w:val="00BB1E71"/>
    <w:pPr>
      <w:ind w:left="720"/>
      <w:contextualSpacing/>
    </w:pPr>
  </w:style>
  <w:style w:type="character" w:styleId="Hipervnculo">
    <w:name w:val="Hyperlink"/>
    <w:basedOn w:val="Fuentedeprrafopredeter"/>
    <w:uiPriority w:val="99"/>
    <w:unhideWhenUsed/>
    <w:rsid w:val="00BB1E71"/>
    <w:rPr>
      <w:color w:val="0563C1" w:themeColor="hyperlink"/>
      <w:u w:val="single"/>
    </w:rPr>
  </w:style>
  <w:style w:type="paragraph" w:styleId="Textonotapie">
    <w:name w:val="footnote text"/>
    <w:basedOn w:val="Normal"/>
    <w:link w:val="TextonotapieCar"/>
    <w:uiPriority w:val="99"/>
    <w:semiHidden/>
    <w:unhideWhenUsed/>
    <w:rsid w:val="00BB1E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1E71"/>
    <w:rPr>
      <w:sz w:val="20"/>
      <w:szCs w:val="20"/>
    </w:rPr>
  </w:style>
  <w:style w:type="character" w:styleId="Refdenotaalpie">
    <w:name w:val="footnote reference"/>
    <w:basedOn w:val="Fuentedeprrafopredeter"/>
    <w:uiPriority w:val="99"/>
    <w:semiHidden/>
    <w:unhideWhenUsed/>
    <w:rsid w:val="00BB1E71"/>
    <w:rPr>
      <w:vertAlign w:val="superscript"/>
    </w:rPr>
  </w:style>
  <w:style w:type="character" w:styleId="Mencinsinresolver">
    <w:name w:val="Unresolved Mention"/>
    <w:basedOn w:val="Fuentedeprrafopredeter"/>
    <w:uiPriority w:val="99"/>
    <w:semiHidden/>
    <w:unhideWhenUsed/>
    <w:rsid w:val="00061779"/>
    <w:rPr>
      <w:color w:val="605E5C"/>
      <w:shd w:val="clear" w:color="auto" w:fill="E1DFDD"/>
    </w:rPr>
  </w:style>
  <w:style w:type="character" w:styleId="Textodelmarcadordeposicin">
    <w:name w:val="Placeholder Text"/>
    <w:basedOn w:val="Fuentedeprrafopredeter"/>
    <w:uiPriority w:val="99"/>
    <w:semiHidden/>
    <w:rsid w:val="007D2E3C"/>
    <w:rPr>
      <w:color w:val="808080"/>
    </w:rPr>
  </w:style>
  <w:style w:type="paragraph" w:styleId="Revisin">
    <w:name w:val="Revision"/>
    <w:hidden/>
    <w:uiPriority w:val="99"/>
    <w:semiHidden/>
    <w:rsid w:val="008F0657"/>
    <w:pPr>
      <w:spacing w:after="0" w:line="240" w:lineRule="auto"/>
    </w:pPr>
  </w:style>
  <w:style w:type="character" w:styleId="Refdecomentario">
    <w:name w:val="annotation reference"/>
    <w:basedOn w:val="Fuentedeprrafopredeter"/>
    <w:uiPriority w:val="99"/>
    <w:semiHidden/>
    <w:unhideWhenUsed/>
    <w:rsid w:val="00871D6D"/>
    <w:rPr>
      <w:sz w:val="16"/>
      <w:szCs w:val="16"/>
    </w:rPr>
  </w:style>
  <w:style w:type="paragraph" w:styleId="Textocomentario">
    <w:name w:val="annotation text"/>
    <w:basedOn w:val="Normal"/>
    <w:link w:val="TextocomentarioCar"/>
    <w:uiPriority w:val="99"/>
    <w:unhideWhenUsed/>
    <w:rsid w:val="00871D6D"/>
    <w:pPr>
      <w:spacing w:line="240" w:lineRule="auto"/>
    </w:pPr>
    <w:rPr>
      <w:sz w:val="20"/>
      <w:szCs w:val="20"/>
    </w:rPr>
  </w:style>
  <w:style w:type="character" w:customStyle="1" w:styleId="TextocomentarioCar">
    <w:name w:val="Texto comentario Car"/>
    <w:basedOn w:val="Fuentedeprrafopredeter"/>
    <w:link w:val="Textocomentario"/>
    <w:uiPriority w:val="99"/>
    <w:rsid w:val="00871D6D"/>
    <w:rPr>
      <w:sz w:val="20"/>
      <w:szCs w:val="20"/>
    </w:rPr>
  </w:style>
  <w:style w:type="paragraph" w:styleId="Asuntodelcomentario">
    <w:name w:val="annotation subject"/>
    <w:basedOn w:val="Textocomentario"/>
    <w:next w:val="Textocomentario"/>
    <w:link w:val="AsuntodelcomentarioCar"/>
    <w:uiPriority w:val="99"/>
    <w:semiHidden/>
    <w:unhideWhenUsed/>
    <w:rsid w:val="00871D6D"/>
    <w:rPr>
      <w:b/>
      <w:bCs/>
    </w:rPr>
  </w:style>
  <w:style w:type="character" w:customStyle="1" w:styleId="AsuntodelcomentarioCar">
    <w:name w:val="Asunto del comentario Car"/>
    <w:basedOn w:val="TextocomentarioCar"/>
    <w:link w:val="Asuntodelcomentario"/>
    <w:uiPriority w:val="99"/>
    <w:semiHidden/>
    <w:rsid w:val="00871D6D"/>
    <w:rPr>
      <w:b/>
      <w:bCs/>
      <w:sz w:val="20"/>
      <w:szCs w:val="20"/>
    </w:rPr>
  </w:style>
  <w:style w:type="character" w:styleId="Hipervnculovisitado">
    <w:name w:val="FollowedHyperlink"/>
    <w:basedOn w:val="Fuentedeprrafopredeter"/>
    <w:uiPriority w:val="99"/>
    <w:semiHidden/>
    <w:unhideWhenUsed/>
    <w:rsid w:val="006121DF"/>
    <w:rPr>
      <w:color w:val="954F72" w:themeColor="followedHyperlink"/>
      <w:u w:val="single"/>
    </w:rPr>
  </w:style>
  <w:style w:type="paragraph" w:styleId="NormalWeb">
    <w:name w:val="Normal (Web)"/>
    <w:basedOn w:val="Normal"/>
    <w:uiPriority w:val="99"/>
    <w:unhideWhenUsed/>
    <w:rsid w:val="0049266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04886">
      <w:bodyDiv w:val="1"/>
      <w:marLeft w:val="0"/>
      <w:marRight w:val="0"/>
      <w:marTop w:val="0"/>
      <w:marBottom w:val="0"/>
      <w:divBdr>
        <w:top w:val="none" w:sz="0" w:space="0" w:color="auto"/>
        <w:left w:val="none" w:sz="0" w:space="0" w:color="auto"/>
        <w:bottom w:val="none" w:sz="0" w:space="0" w:color="auto"/>
        <w:right w:val="none" w:sz="0" w:space="0" w:color="auto"/>
      </w:divBdr>
      <w:divsChild>
        <w:div w:id="1676030553">
          <w:marLeft w:val="0"/>
          <w:marRight w:val="0"/>
          <w:marTop w:val="0"/>
          <w:marBottom w:val="0"/>
          <w:divBdr>
            <w:top w:val="none" w:sz="0" w:space="0" w:color="auto"/>
            <w:left w:val="none" w:sz="0" w:space="0" w:color="auto"/>
            <w:bottom w:val="none" w:sz="0" w:space="0" w:color="auto"/>
            <w:right w:val="none" w:sz="0" w:space="0" w:color="auto"/>
          </w:divBdr>
          <w:divsChild>
            <w:div w:id="434641267">
              <w:marLeft w:val="0"/>
              <w:marRight w:val="0"/>
              <w:marTop w:val="0"/>
              <w:marBottom w:val="0"/>
              <w:divBdr>
                <w:top w:val="none" w:sz="0" w:space="0" w:color="auto"/>
                <w:left w:val="none" w:sz="0" w:space="0" w:color="auto"/>
                <w:bottom w:val="none" w:sz="0" w:space="0" w:color="auto"/>
                <w:right w:val="none" w:sz="0" w:space="0" w:color="auto"/>
              </w:divBdr>
              <w:divsChild>
                <w:div w:id="1021934528">
                  <w:marLeft w:val="0"/>
                  <w:marRight w:val="0"/>
                  <w:marTop w:val="0"/>
                  <w:marBottom w:val="0"/>
                  <w:divBdr>
                    <w:top w:val="none" w:sz="0" w:space="0" w:color="auto"/>
                    <w:left w:val="none" w:sz="0" w:space="0" w:color="auto"/>
                    <w:bottom w:val="none" w:sz="0" w:space="0" w:color="auto"/>
                    <w:right w:val="none" w:sz="0" w:space="0" w:color="auto"/>
                  </w:divBdr>
                  <w:divsChild>
                    <w:div w:id="2029788847">
                      <w:marLeft w:val="0"/>
                      <w:marRight w:val="0"/>
                      <w:marTop w:val="0"/>
                      <w:marBottom w:val="0"/>
                      <w:divBdr>
                        <w:top w:val="none" w:sz="0" w:space="0" w:color="auto"/>
                        <w:left w:val="none" w:sz="0" w:space="0" w:color="auto"/>
                        <w:bottom w:val="none" w:sz="0" w:space="0" w:color="auto"/>
                        <w:right w:val="none" w:sz="0" w:space="0" w:color="auto"/>
                      </w:divBdr>
                      <w:divsChild>
                        <w:div w:id="211696257">
                          <w:marLeft w:val="0"/>
                          <w:marRight w:val="0"/>
                          <w:marTop w:val="0"/>
                          <w:marBottom w:val="0"/>
                          <w:divBdr>
                            <w:top w:val="none" w:sz="0" w:space="0" w:color="auto"/>
                            <w:left w:val="none" w:sz="0" w:space="0" w:color="auto"/>
                            <w:bottom w:val="none" w:sz="0" w:space="0" w:color="auto"/>
                            <w:right w:val="none" w:sz="0" w:space="0" w:color="auto"/>
                          </w:divBdr>
                          <w:divsChild>
                            <w:div w:id="8977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o@campaymendoz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72130b6-9fbd-43bd-8371-ee5186d4e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F0D0616046D9C4D85037DEB3BE292CA" ma:contentTypeVersion="14" ma:contentTypeDescription="Crear nuevo documento." ma:contentTypeScope="" ma:versionID="6067f918adfc17d7216f1ee5862694e7">
  <xsd:schema xmlns:xsd="http://www.w3.org/2001/XMLSchema" xmlns:xs="http://www.w3.org/2001/XMLSchema" xmlns:p="http://schemas.microsoft.com/office/2006/metadata/properties" xmlns:ns3="372130b6-9fbd-43bd-8371-ee5186d4e2a8" xmlns:ns4="5097c1c2-9f83-49b4-b5b6-88434d4b45fd" targetNamespace="http://schemas.microsoft.com/office/2006/metadata/properties" ma:root="true" ma:fieldsID="ceccdc0d7562dacd6919ed94daf065cf" ns3:_="" ns4:_="">
    <xsd:import namespace="372130b6-9fbd-43bd-8371-ee5186d4e2a8"/>
    <xsd:import namespace="5097c1c2-9f83-49b4-b5b6-88434d4b45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130b6-9fbd-43bd-8371-ee5186d4e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7c1c2-9f83-49b4-b5b6-88434d4b45fd"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E6085-68C6-4890-9DB6-89D94DCA38B2}">
  <ds:schemaRefs>
    <ds:schemaRef ds:uri="http://schemas.openxmlformats.org/officeDocument/2006/bibliography"/>
  </ds:schemaRefs>
</ds:datastoreItem>
</file>

<file path=customXml/itemProps2.xml><?xml version="1.0" encoding="utf-8"?>
<ds:datastoreItem xmlns:ds="http://schemas.openxmlformats.org/officeDocument/2006/customXml" ds:itemID="{C7A3773F-F4BC-493A-9EDD-E4F6142E7C30}">
  <ds:schemaRefs>
    <ds:schemaRef ds:uri="http://schemas.microsoft.com/office/2006/metadata/properties"/>
    <ds:schemaRef ds:uri="http://schemas.microsoft.com/office/infopath/2007/PartnerControls"/>
    <ds:schemaRef ds:uri="372130b6-9fbd-43bd-8371-ee5186d4e2a8"/>
  </ds:schemaRefs>
</ds:datastoreItem>
</file>

<file path=customXml/itemProps3.xml><?xml version="1.0" encoding="utf-8"?>
<ds:datastoreItem xmlns:ds="http://schemas.openxmlformats.org/officeDocument/2006/customXml" ds:itemID="{5820C90A-8EC5-4E07-BC1E-7334FC711A23}">
  <ds:schemaRefs>
    <ds:schemaRef ds:uri="http://schemas.microsoft.com/sharepoint/v3/contenttype/forms"/>
  </ds:schemaRefs>
</ds:datastoreItem>
</file>

<file path=customXml/itemProps4.xml><?xml version="1.0" encoding="utf-8"?>
<ds:datastoreItem xmlns:ds="http://schemas.openxmlformats.org/officeDocument/2006/customXml" ds:itemID="{ADE758AE-9DA7-4B98-962D-585C0586F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130b6-9fbd-43bd-8371-ee5186d4e2a8"/>
    <ds:schemaRef ds:uri="5097c1c2-9f83-49b4-b5b6-88434d4b4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1383</Words>
  <Characters>7610</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Campa Garcia</dc:creator>
  <cp:keywords/>
  <dc:description/>
  <cp:lastModifiedBy>Dorothy Lerch</cp:lastModifiedBy>
  <cp:revision>3</cp:revision>
  <dcterms:created xsi:type="dcterms:W3CDTF">2024-07-02T18:04:00Z</dcterms:created>
  <dcterms:modified xsi:type="dcterms:W3CDTF">2024-07-02T20:29:00Z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0x0101007F0D0616046D9C4D85037DEB3BE292CA</vt:lpwstr>
  </property>
</Properties>
</file>